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927B" w14:textId="4385730C" w:rsidR="0075157D" w:rsidRPr="005400AB" w:rsidRDefault="005400AB" w:rsidP="0054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НАЦРТ:</w:t>
      </w:r>
    </w:p>
    <w:p w14:paraId="18EE5C6A" w14:textId="08B8CF15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Calibri" w:eastAsia="Times New Roman" w:hAnsi="Calibri" w:cs="Calibri"/>
          <w:color w:val="000000"/>
        </w:rPr>
        <w:t>         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32.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о локалној самоуправи (''Сл. гласник РС'', бр. 129/07 и 83/2014 – др. Закон и 101/2016 – др. Закон и 47/2018) и члана 6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11. и 15. Закона о финансирању локалне самоуправе (''Сл. гласник.</w:t>
      </w:r>
      <w:r w:rsidR="00DE25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РС'' бр. 62/2006, 47/2011, 93/2012, 99/2013 – усклађени дин. изн., 125/2014 – усклађени дин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изн. и 95/2015-усклађени дин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изн. 83/2016, 91/2016-усклађени дин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изн. и 104/2016 и усклађени дин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изн. и 96/2017-усклађени дин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изн.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89/2018, 86/2019</w:t>
      </w:r>
      <w:r w:rsidRPr="0075157D">
        <w:rPr>
          <w:rFonts w:ascii="Calibri" w:eastAsia="Times New Roman" w:hAnsi="Calibri" w:cs="Calibri"/>
          <w:color w:val="000000"/>
        </w:rPr>
        <w:t>-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усклађени дин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082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E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082E4D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082E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126/2020-усклађени дин</w:t>
      </w:r>
      <w:r w:rsidR="00A95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2E4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99/2021-усклађени дин.изн.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40. Статута општине Љиг (,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,Сл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гласник општине Љиг“ бр. 4/19) Скупштина општине Љиг на седници одржаној дана </w:t>
      </w:r>
      <w:r w:rsidR="003427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27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427C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године, донела је</w:t>
      </w:r>
    </w:p>
    <w:p w14:paraId="0B5C1F5C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BBF85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 Д Л У К У</w:t>
      </w:r>
    </w:p>
    <w:p w14:paraId="715F4CDF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 ЛОКАЛНИМ КОМУНАЛНИМ ТАКСАМА НА ТЕРИТОРИЈИ ОПШТИНЕ ЉИГ</w:t>
      </w:r>
    </w:p>
    <w:p w14:paraId="7014F501" w14:textId="77777777" w:rsidR="0075157D" w:rsidRPr="0075157D" w:rsidRDefault="0075157D" w:rsidP="00751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81A13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1.</w:t>
      </w:r>
    </w:p>
    <w:p w14:paraId="24DD4EB4" w14:textId="55C0203E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одлуком уводе се локалне комуналне таксе за коришћење права, предмета и услуга на територији општине Љиг и утврђују обвезници, висина, олакшице, рокови и начин плаћања локалне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комуналне таксе.</w:t>
      </w:r>
    </w:p>
    <w:p w14:paraId="59211659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32EB2" w14:textId="77777777" w:rsidR="0075157D" w:rsidRPr="0075157D" w:rsidRDefault="0075157D" w:rsidP="007515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proofErr w:type="gramStart"/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2 .</w:t>
      </w:r>
      <w:proofErr w:type="gramEnd"/>
    </w:p>
    <w:p w14:paraId="29033EC1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 комуналне таксе уводе се за:</w:t>
      </w:r>
    </w:p>
    <w:p w14:paraId="7C8B2EA7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истицање фирме на пословном простору,</w:t>
      </w:r>
    </w:p>
    <w:p w14:paraId="0289B3E2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2. држање моторних друмских и прикључних возила, осим пољопривредних возила и машина,</w:t>
      </w:r>
    </w:p>
    <w:p w14:paraId="77C69846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 држање средстава за игру ("забавне игре").</w:t>
      </w:r>
    </w:p>
    <w:p w14:paraId="18CCB7F6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A0C99" w14:textId="77777777" w:rsidR="0075157D" w:rsidRPr="0075157D" w:rsidRDefault="0075157D" w:rsidP="007515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3.</w:t>
      </w:r>
    </w:p>
    <w:p w14:paraId="7C81EDD8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Обвезник локалне комуналне таксе је корисник права, предмета и услуга за чије је коришћење прописано плаћање локалне комуналне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таксе .</w:t>
      </w:r>
      <w:proofErr w:type="gramEnd"/>
    </w:p>
    <w:p w14:paraId="1F8E7461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36476" w14:textId="77777777" w:rsidR="0075157D" w:rsidRPr="0075157D" w:rsidRDefault="0075157D" w:rsidP="007515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4.</w:t>
      </w:r>
    </w:p>
    <w:p w14:paraId="7E01D7AF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Таксена обавеза настаје даном почетка коришћења права, прeдмета или услуга за чије је коришћење прописано плаћање локалне комуналне таксе.</w:t>
      </w:r>
    </w:p>
    <w:p w14:paraId="27BC4618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Таксена обавеза траје док траје коришћење права, предмета или услуга.</w:t>
      </w:r>
    </w:p>
    <w:p w14:paraId="7CD9C162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CD56C" w14:textId="77777777" w:rsidR="0075157D" w:rsidRPr="0075157D" w:rsidRDefault="0075157D" w:rsidP="007515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5.</w:t>
      </w:r>
    </w:p>
    <w:p w14:paraId="5AF45DC9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 комуналне таксе не плаћају се за коришћење права, предмета или услуга од стране државних органа и организација, органа и организација територијалне аутономије и јединица локалне самоуправе.</w:t>
      </w:r>
    </w:p>
    <w:p w14:paraId="6BBEC1C8" w14:textId="77777777" w:rsidR="0075157D" w:rsidRPr="0075157D" w:rsidRDefault="0075157D" w:rsidP="00751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1D06BA" w14:textId="77777777" w:rsidR="0075157D" w:rsidRPr="0075157D" w:rsidRDefault="0075157D" w:rsidP="007515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6.</w:t>
      </w:r>
    </w:p>
    <w:p w14:paraId="4497C4CB" w14:textId="7FC6733B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 комуналне таксе из члана 2. ове Одлуке представљају изворни приход</w:t>
      </w:r>
      <w:r w:rsidR="00A53A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јединице локалне самоуправе и припадају буџету Општине Љиг.</w:t>
      </w:r>
    </w:p>
    <w:p w14:paraId="0D657491" w14:textId="7B3F8E13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Уплата прихода од локалних комуналних такси врши се у новцу на одговарајуће уплатне рачуне</w:t>
      </w:r>
      <w:r w:rsidR="00A53A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прописане Правилником о условима и начину вођења рачуна за уплату јавних прихода и распоред средстава сатих рачуна.</w:t>
      </w:r>
    </w:p>
    <w:p w14:paraId="0835A9D5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10AFA" w14:textId="77777777" w:rsidR="0075157D" w:rsidRPr="0075157D" w:rsidRDefault="0075157D" w:rsidP="007515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Члан 7.</w:t>
      </w:r>
    </w:p>
    <w:p w14:paraId="41CECDF2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Наплату локалних комуналних такси из члана 2. став 1. тачке 1. и 3. ове Одлуке врши Општинска управа општине Љиг.</w:t>
      </w:r>
    </w:p>
    <w:p w14:paraId="35BF8E70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Наплату локалне комуналне таксе из члана 2. став 1. тачка 2. ове Одлуке врши орган надлежан за регистрацију возила.</w:t>
      </w:r>
    </w:p>
    <w:p w14:paraId="10C82A25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8.</w:t>
      </w:r>
    </w:p>
    <w:p w14:paraId="6A057D8B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Обвезник локалне комуналне таксе дужан је да, за коришћење права, предмета или услуга за чије коришћење је прописано плаћање локалне комуналне таксе, поднесе пријаву.</w:t>
      </w:r>
    </w:p>
    <w:p w14:paraId="6FAE2EDC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обвезник локалне комуналне таксе не поднесе пријаву у року прописаном овом Одлуком, обавеза се може утврдити по службеној дужности на основу налаза надлежног инспектора, података из евиденције надлежних органа и других података којима располаже орган надлежан за утврђивање таксе. </w:t>
      </w:r>
    </w:p>
    <w:p w14:paraId="0848A74F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 се подноси посебно за тарифни број 1. и 3.</w:t>
      </w:r>
    </w:p>
    <w:p w14:paraId="66473F10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Пријава за тарифни број 1.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до 31.јула године за коју се утврђује локална комунална такса или у року од 15 дана од дана почетка обављања делатности. </w:t>
      </w:r>
    </w:p>
    <w:p w14:paraId="564B3FF3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 за тарифни број 3. подноси се до 31. јула године за коју се утврђује локална комунална такса или у року од 15 дана од дана почетка држања средстава за игру.</w:t>
      </w:r>
    </w:p>
    <w:p w14:paraId="1FE11FC7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Обвезник је дужан да сваку промену (трајне или привремене одјаве делатности, промене делатности, промене локације објекта, стечаја или ликвидације и сл.) пријави надлежном органу у року од 15 дана од дана настале промене.</w:t>
      </w:r>
    </w:p>
    <w:p w14:paraId="1A8CC83F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AE025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9.</w:t>
      </w:r>
    </w:p>
    <w:p w14:paraId="3EA5BB51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У погледу начина утврђивања локалне комуналне таксе, поступка по правним лековима, начина и рокова плаћања, камате, повраћаја, застарелости, наплате, принудне наплате и осталог што није посебно регулисано овом одлуком, примењују се одредбе закона којим се уређује порески поступак и пореска администрација и Закон о финансирању локалне самоуправе.</w:t>
      </w:r>
    </w:p>
    <w:p w14:paraId="770FDE07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10.</w:t>
      </w:r>
    </w:p>
    <w:p w14:paraId="36C596F3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инспекцијског надзора над применом одредаба ове Одлуке врши Општинска управа општине Љиг– Одељење за инспекцијске послове.</w:t>
      </w:r>
    </w:p>
    <w:p w14:paraId="553CAB0A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A7268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11.</w:t>
      </w:r>
    </w:p>
    <w:p w14:paraId="5B83B61A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Новчаном казном од 50.000,00 динара казниће се за прекршај правно лице ако:</w:t>
      </w:r>
    </w:p>
    <w:p w14:paraId="66EDF7BB" w14:textId="6D7BBEF6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1) Општинској управи Општине Љиг не поднесе или не поднесе у прописаном року пријаву за утврђивање обавезе по основу локалне комуналне таксе или у пријави наведе нетачне податке (члан 8. став 4. и став 5.</w:t>
      </w:r>
      <w:r w:rsidR="00DE25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Одлуке)</w:t>
      </w:r>
    </w:p>
    <w:p w14:paraId="5245BD8A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2) Општинској управи Општине Љиг у прописаном року не пријави промене од значаја за утврђивање и наплату комуналне таксе (члан 8. став 6. Одлуке)</w:t>
      </w:r>
    </w:p>
    <w:p w14:paraId="58853398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прекршаје из става 1. овог члана казниће се одговорно лице у правном лицу новчаном казном у износу од 5.000,00 динара.</w:t>
      </w:r>
    </w:p>
    <w:p w14:paraId="09192D9B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прекршаје из става 1. овог члана казниће се предузетник новчаном казном у износу од 20.000,00 динара.</w:t>
      </w:r>
    </w:p>
    <w:p w14:paraId="25F74F8E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прекршаје из става 1. овог члана казниће се физичко лице новчаном казном у износу од 5.000,00 динара.</w:t>
      </w:r>
    </w:p>
    <w:p w14:paraId="1BB3AF90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2EAE6" w14:textId="77777777" w:rsidR="0075157D" w:rsidRPr="0075157D" w:rsidRDefault="0075157D" w:rsidP="007515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12.</w:t>
      </w:r>
    </w:p>
    <w:p w14:paraId="08DA4D41" w14:textId="0E7F9F87" w:rsidR="0075157D" w:rsidRPr="00154C91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Ступањем на снагу ове Одлуке престаје да важи Одлука о локалним комуналним таксама</w:t>
      </w:r>
      <w:r w:rsidR="00FE76F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територији општине Љиг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(,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0CE2">
        <w:rPr>
          <w:rFonts w:ascii="Times New Roman" w:eastAsia="Times New Roman" w:hAnsi="Times New Roman" w:cs="Times New Roman"/>
          <w:color w:val="000000"/>
          <w:sz w:val="24"/>
          <w:szCs w:val="24"/>
        </w:rPr>
        <w:t>Сл.гласник</w:t>
      </w:r>
      <w:proofErr w:type="gramEnd"/>
      <w:r w:rsidR="003D0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општине Љиг“ бр. </w:t>
      </w:r>
      <w:r w:rsidR="003D0CE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23/2020</w:t>
      </w:r>
      <w:r w:rsidR="00154C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54C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39D265F8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EAD24" w14:textId="77777777" w:rsidR="0075157D" w:rsidRPr="0075157D" w:rsidRDefault="0075157D" w:rsidP="007515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13.</w:t>
      </w:r>
      <w:proofErr w:type="gramEnd"/>
    </w:p>
    <w:p w14:paraId="7D6513F1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 ступа на снагу осмог дана од дана објављивања у Службеном гласнику oпштине Љиг.</w:t>
      </w:r>
      <w:proofErr w:type="gramEnd"/>
    </w:p>
    <w:p w14:paraId="29BB0AE6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DE742" w14:textId="77777777" w:rsidR="0075157D" w:rsidRPr="0075157D" w:rsidRDefault="0075157D" w:rsidP="007515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14.</w:t>
      </w:r>
    </w:p>
    <w:p w14:paraId="4FBD9050" w14:textId="3F59D63C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ове одлуке представља Тарифа локалних комуналних такси утврђена за поједина права,</w:t>
      </w:r>
      <w:r w:rsidR="00DE25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предмете и услуге.</w:t>
      </w:r>
    </w:p>
    <w:p w14:paraId="365635E3" w14:textId="77777777" w:rsidR="0075157D" w:rsidRPr="0075157D" w:rsidRDefault="0075157D" w:rsidP="00751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5E23BA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 ОПШТИНЕ ЉИГ</w:t>
      </w:r>
    </w:p>
    <w:p w14:paraId="4A8D5D61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41EAB" w14:textId="0668FD1C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Број: </w:t>
      </w:r>
    </w:p>
    <w:p w14:paraId="4C594416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ПРЕДСЕДНИК</w:t>
      </w:r>
    </w:p>
    <w:p w14:paraId="1795E227" w14:textId="542DAD0C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</w:t>
      </w:r>
      <w:r w:rsidR="00FE76F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="00FE76F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Веселин Шиљеговић</w:t>
      </w:r>
    </w:p>
    <w:p w14:paraId="6C11A3B1" w14:textId="77777777" w:rsidR="0075157D" w:rsidRPr="0075157D" w:rsidRDefault="0075157D" w:rsidP="00751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C1BFF9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ТАКСЕНА ТАРИФА</w:t>
      </w:r>
    </w:p>
    <w:p w14:paraId="52EEAB44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ЛОКАЛНИХ КОМУНАЛНИХ ТАКСА</w:t>
      </w:r>
    </w:p>
    <w:p w14:paraId="292D3AA1" w14:textId="77777777" w:rsidR="0075157D" w:rsidRPr="0075157D" w:rsidRDefault="0075157D" w:rsidP="00751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EEDAE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Тарифни број 1.</w:t>
      </w:r>
    </w:p>
    <w:p w14:paraId="6E611914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E0C118C" w14:textId="77777777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истакнуту фирму на пословном простору плаћа се годишња такса, и то за:</w:t>
      </w:r>
    </w:p>
    <w:p w14:paraId="5009F64F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B155C" w14:textId="39B056A0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правна лица која су према закону којим се уређује рачуноводство разврстана у средња правна лица, предузетници</w:t>
      </w:r>
      <w:r w:rsidR="0029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мала правна лица </w:t>
      </w:r>
      <w:r w:rsidR="0029440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микро правна лица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 имају годишњи приход преко 50 000 000,00 динара (осим предузетника и правних лица која обављају делатности: банкарства, осигурања имовине и лица, производње и трговине нафтом и дериватима нафте, производње и трговине на валико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дискотека), плаћа се такса у годишњем износу.......................................................................... –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једна просечна зарада</w:t>
      </w:r>
    </w:p>
    <w:p w14:paraId="5AAF2A09" w14:textId="77777777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правна лица која су према закону којим се уређује рачуноводство разврстана у велика правна лица (осим правних лица која обављају делатности: банкарства, осигурања имовине и лица, производње и трговине нафтом и дериватима нафте, производње и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трговине на валико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дискотека), плаћа се такса у годишњем износу........................... 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–једна и по просечна зарада</w:t>
      </w:r>
    </w:p>
    <w:p w14:paraId="0CEC7D47" w14:textId="75D1C285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правна лица која су према закону којим се уређује рачуноводство разврстана у велика, средња и мала правна лица у смислу закона којим се уређује рачуноводство и предузетници, а обављају делатности</w:t>
      </w:r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банкарства, осигурања имовине и лица, производње и трговине нафтом и дериватима нафте, производње и трговине на велико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 плаћа се такса у годишњем износу................................................. - 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десет просечних зарада</w:t>
      </w:r>
    </w:p>
    <w:p w14:paraId="678ED6BF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141F0" w14:textId="158F4985" w:rsidR="0075157D" w:rsidRPr="0075157D" w:rsidRDefault="0075157D" w:rsidP="00751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Изузетно, правна лица односно њихове пословне јединице и предузетници који </w:t>
      </w:r>
      <w:r w:rsidR="0029440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обављају делатности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промет</w:t>
      </w:r>
      <w:r w:rsidR="0029440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нафте и дериватима нафте и </w:t>
      </w:r>
      <w:r w:rsidR="0029440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поштанских услуга и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то:</w:t>
      </w:r>
    </w:p>
    <w:p w14:paraId="0FDB8B40" w14:textId="2E69AD33" w:rsidR="0075157D" w:rsidRPr="0075157D" w:rsidRDefault="0075157D" w:rsidP="007515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бензинске станице ван насељеног места Љиг, у појасу Ибарске магистрале, плаћају таксу у годишњем износу......................................</w:t>
      </w:r>
      <w:r w:rsidR="00E20A4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 просечних зарада</w:t>
      </w:r>
    </w:p>
    <w:p w14:paraId="7479E1DA" w14:textId="5DB72393" w:rsidR="0075157D" w:rsidRPr="0029440F" w:rsidRDefault="0075157D" w:rsidP="007515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бензинскe станицe у Белановици у годишњем износу....</w:t>
      </w:r>
      <w:r w:rsidR="0029440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..................................................................................................................................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једна просечна зарада</w:t>
      </w:r>
    </w:p>
    <w:p w14:paraId="55DCA0DB" w14:textId="3B560C95" w:rsidR="0029440F" w:rsidRPr="002277C2" w:rsidRDefault="0029440F" w:rsidP="007515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пошта у Белановици у годишњем износу</w:t>
      </w:r>
      <w:r w:rsidR="002277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.....................................................................................................................................</w:t>
      </w:r>
      <w:r w:rsidR="00E20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19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..........</w:t>
      </w:r>
      <w:r w:rsidR="002277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="00E2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A4F" w:rsidRPr="00E2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30.000,00 </w:t>
      </w:r>
      <w:r w:rsidR="00E20A4F" w:rsidRPr="00E2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динара</w:t>
      </w:r>
    </w:p>
    <w:p w14:paraId="5B3368D6" w14:textId="14F688F5" w:rsidR="002277C2" w:rsidRPr="0075157D" w:rsidRDefault="002277C2" w:rsidP="007515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пошта у Славковици у годишњем износу......................................................................................................................................</w:t>
      </w:r>
      <w:r w:rsidR="0009197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="00E20A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20A4F" w:rsidRPr="00E2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30.000,00 динара</w:t>
      </w:r>
    </w:p>
    <w:p w14:paraId="02DA4C9A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972B6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просечном зарадом сматра се просечна зарада по запосленом остварена на територији општине Љиг у периоду јануар-август године која претходи години за коју се утврђује фирмарина, према подацима републичког органа надлежног за послове статистике.</w:t>
      </w:r>
    </w:p>
    <w:p w14:paraId="64725D86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AD15D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НАПОМЕНА:</w:t>
      </w:r>
    </w:p>
    <w:p w14:paraId="0CBE925D" w14:textId="4CE377F9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 Локалну комуналну таксу по овом тарифном броју решењем утврђује Одељење за финансије. Обвезник таксе дужан је да најкасније до 31. јула текуће године, односно у року од 15 дана од дана</w:t>
      </w:r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 обављања делатности поднесе пријаву Одељењу за финансије и достави податке</w:t>
      </w:r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од значаја за одређивање висине таксе, ради доношења решења.</w:t>
      </w:r>
    </w:p>
    <w:p w14:paraId="0601A865" w14:textId="747C80CE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2. Обвезник је дужан да одељењу из става 1.</w:t>
      </w:r>
      <w:r w:rsidR="00DE25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ове напомене, поднесе пријаву о свакој промени од значаја за утврђивање таксе, у року од 15 дана од дана настанка промене.</w:t>
      </w:r>
    </w:p>
    <w:p w14:paraId="08A5DD6C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Протеком рока из става 1. и 2. ове напомене Одељење за финансије доноси решење о обавези плаћања таксе по службеној дужности.</w:t>
      </w:r>
    </w:p>
    <w:p w14:paraId="5E2C2A96" w14:textId="7E1B8226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Под истакнутом фирмом, сматра се сваки истакнути назив или име, које упућује на то да правно или</w:t>
      </w:r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физичко лице обавља делатност, без обзира где је фирма истакнута на пословном простору. Ако се на једном</w:t>
      </w:r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пословном простору налази више истакнутих фирми истог обвезника, такса се плаћа само за једну фирму. За сваку истакнуту фирму</w:t>
      </w:r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ван пословног објекта, плаћа се такса за сваку истакнуту фирму.</w:t>
      </w:r>
    </w:p>
    <w:p w14:paraId="5F6A98BA" w14:textId="08282C4C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Локална комунална такса за истицање фирме на пословном простору утврђује се 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годишњем нивоу, 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плаћа се квартално.</w:t>
      </w:r>
    </w:p>
    <w:p w14:paraId="1772086A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6. До доношења решења о утврђивању таксе за текућу годину, такса се плаћа у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  висини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која одговара утврђеном износу локалне комуналне таксе из претходног периода.</w:t>
      </w:r>
    </w:p>
    <w:p w14:paraId="0CB9931E" w14:textId="77777777" w:rsidR="0075157D" w:rsidRPr="0075157D" w:rsidRDefault="0075157D" w:rsidP="00751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D99C0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Тарифни број 2.</w:t>
      </w:r>
    </w:p>
    <w:p w14:paraId="2A1028E7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DEAB4" w14:textId="77777777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држање моторних друмских и прикључних возила осим пољопривредних возила и машина плаћа се накнада за време од 12 месеци, и то:</w:t>
      </w:r>
    </w:p>
    <w:p w14:paraId="5021CB7D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85AEB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</w:t>
      </w:r>
    </w:p>
    <w:p w14:paraId="2C4CC365" w14:textId="6B445A44" w:rsidR="0075157D" w:rsidRPr="0075157D" w:rsidRDefault="0075157D" w:rsidP="0024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Врста возила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25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="00DE25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Висина</w:t>
      </w:r>
      <w:r w:rsidR="0024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акнаде</w:t>
      </w:r>
    </w:p>
    <w:p w14:paraId="17F0C30D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</w:t>
      </w:r>
    </w:p>
    <w:p w14:paraId="0A777689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14:paraId="240B0AB6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56A6B0A6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Tеретна возила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3D3A38D" w14:textId="0CECCE72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камионе до 2 тоне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носивости  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86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79362A7E" w14:textId="13D30EF1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камионе 2-5 тона носивости  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2.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49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2E090E8C" w14:textId="4CA189A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камионе 5-12 тона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носивости  ...................................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35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2C7FE48E" w14:textId="65285023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камионе преко 12 тона носивости  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6.</w:t>
      </w:r>
      <w:r w:rsidR="00D0172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20,00</w:t>
      </w:r>
    </w:p>
    <w:p w14:paraId="416FF14E" w14:textId="17A605FF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теретне и радне приколице (за путничке аутомобиле)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600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</w:p>
    <w:p w14:paraId="7E890F61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путничка возила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1FF878" w14:textId="6C2AA581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 1.150 цм3    .................................................................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600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</w:p>
    <w:p w14:paraId="448BF3BA" w14:textId="2C7CF63C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Преко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1.150 цм3-1.300цм3  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1.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20,00</w:t>
      </w:r>
      <w:proofErr w:type="gramEnd"/>
    </w:p>
    <w:p w14:paraId="48120235" w14:textId="7F761541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Преко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1.300 цм3-1.600цм3  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1.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85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  <w:proofErr w:type="gramEnd"/>
    </w:p>
    <w:p w14:paraId="75EB8AB6" w14:textId="7423D15A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Преко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1.600 цм3-2.000цм3  .............................................  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2.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49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  <w:proofErr w:type="gramEnd"/>
    </w:p>
    <w:p w14:paraId="683551B0" w14:textId="6788FD94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Преко 2.000 цм3-3.000цм3  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3.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75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608BCA97" w14:textId="4EBC61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Преко 3.000 цм3 ...............................................................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20,00</w:t>
      </w:r>
    </w:p>
    <w:p w14:paraId="6DE7F425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мотоцикле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68E21DB" w14:textId="4A9F9E96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 125 цм3    .....................................................................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4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45B5B67C" w14:textId="76301423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Преко125 цм3-250м3   ......................................................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67268A7C" w14:textId="5AC2178D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Преко 250 цм3-500м3  ......................................................         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20,00</w:t>
      </w:r>
    </w:p>
    <w:p w14:paraId="4C9BB646" w14:textId="467BC6E1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Преко500 цм3-1.200м3  ...................................................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1.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50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0CAC859B" w14:textId="18A448B8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Преко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  1.200м3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  .................................................................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1.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85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518E4D8B" w14:textId="4CDE75FD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аутобусе и комби-бусеве, по регистрованом седишту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5B41BD36" w14:textId="0F125FC4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прикључна возила: теретне приколице, полуприколице и специјалне теретне приколице за превоз </w:t>
      </w:r>
      <w:r w:rsidR="00F04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одређених врста терета: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04BA28" w14:textId="749AFC04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 1 тоне носивости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44663579" w14:textId="05621C14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 1-5 тона носивости........................................................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85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201E2B7D" w14:textId="2F6A72D9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Од 5-10 тона носивости.......................................................  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    1.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16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40772DA8" w14:textId="40CCA828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 10-12 тона носивости.....................................................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1.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371F584E" w14:textId="65BDBF89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Преко 12 тона носивости...................................................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..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2.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49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488B6CBF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вучна возила (тегљаче):</w:t>
      </w:r>
    </w:p>
    <w:p w14:paraId="27D7AF02" w14:textId="2E273134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Чија је снага мотора до 66 кв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( киловата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)..........................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1.</w:t>
      </w:r>
      <w:r w:rsidR="00D01720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1861AE7B" w14:textId="48097F46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Чија је снага мотора од 66-96 кв........................................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="00D01720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766F547C" w14:textId="2EEDC68F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Чија је снага мотора од 96-132 кв.......................................    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="00D01720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30,00</w:t>
      </w:r>
    </w:p>
    <w:p w14:paraId="280914E8" w14:textId="37B9ABFA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Чија је снага мотора од 132-177 кв.....................................   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01720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7F73C57E" w14:textId="6E48656C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Чија је снага мотора преко 177 кв......................................</w:t>
      </w:r>
      <w:r w:rsidR="004833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01720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176C8257" w14:textId="1BE551DC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04C8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радна возила, специјална адаптирана возила за превоз реквизита за путујуће забаве, радње и атестирана </w:t>
      </w:r>
      <w:r w:rsidR="00F04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</w:t>
      </w:r>
      <w:r w:rsidR="00D01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специјализована возила за превоз пчела...</w:t>
      </w:r>
      <w:r w:rsidR="00F04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........................................</w:t>
      </w:r>
      <w:r w:rsidR="00D01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0172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</w:p>
    <w:p w14:paraId="38D0F7FB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630C0" w14:textId="77777777" w:rsidR="0075157D" w:rsidRPr="0075157D" w:rsidRDefault="0075157D" w:rsidP="007515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НАПОМЕНА:</w:t>
      </w:r>
    </w:p>
    <w:p w14:paraId="2549040D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2D3971" w14:textId="77777777" w:rsidR="0075157D" w:rsidRPr="0075157D" w:rsidRDefault="0075157D" w:rsidP="0075157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 из овог Тарифног броја плаћа се у годишњем износу приликом регистрације моторног возила код органа надлежног за регистрацију возила. </w:t>
      </w:r>
    </w:p>
    <w:p w14:paraId="4B019245" w14:textId="77777777" w:rsidR="0075157D" w:rsidRPr="0075157D" w:rsidRDefault="0075157D" w:rsidP="0075157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Обавештење о износима такси из тарифног броја 2, као и уплатни рачун доставља Општинска управа општине Љиг надлежном органу.</w:t>
      </w:r>
    </w:p>
    <w:p w14:paraId="16554267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11B05" w14:textId="77777777" w:rsidR="0075157D" w:rsidRPr="0075157D" w:rsidRDefault="0075157D" w:rsidP="0075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Тарифни број 3.</w:t>
      </w:r>
    </w:p>
    <w:p w14:paraId="59D67218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3F669" w14:textId="77777777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За држање средстава за игру (''Забавне игре'') – билијар, пикадо, флипери, електронске видео игре, СЕГА – апарати, забавне игре на рачунарима, симулатори, видео аутомати и друге сличне направе које се стављају у погон уз помоћ новца или жетона и друге сличне игре, таксе се плаћа месечно по средству за игру и то: </w:t>
      </w:r>
    </w:p>
    <w:p w14:paraId="4E70DF01" w14:textId="083809DF" w:rsidR="0075157D" w:rsidRPr="00247F29" w:rsidRDefault="00247F29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B28006E" w14:textId="7BA64216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1.Билијар (по столу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)  ............................................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500,00 динара </w:t>
      </w:r>
    </w:p>
    <w:p w14:paraId="28A55859" w14:textId="77777777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2. Томбола ............................................................. 1.500,00 динара</w:t>
      </w:r>
    </w:p>
    <w:p w14:paraId="6A3B26BF" w14:textId="58447265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Флипери и видео игре (по апарату)................. 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500,00 динара </w:t>
      </w:r>
    </w:p>
    <w:p w14:paraId="7A4A541C" w14:textId="51EF1DA7" w:rsidR="0075157D" w:rsidRPr="0075157D" w:rsidRDefault="0075157D" w:rsidP="007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4. Остало ...............................................................</w:t>
      </w:r>
      <w:r w:rsidR="004833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1.000,00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динара </w:t>
      </w:r>
    </w:p>
    <w:p w14:paraId="1089B780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170C3" w14:textId="77777777" w:rsidR="0075157D" w:rsidRPr="0075157D" w:rsidRDefault="0075157D" w:rsidP="00751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НАПОМЕНА: </w:t>
      </w:r>
    </w:p>
    <w:p w14:paraId="655F9259" w14:textId="77777777" w:rsidR="0075157D" w:rsidRPr="0075157D" w:rsidRDefault="0075157D" w:rsidP="0075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7E524D" w14:textId="005CEB56" w:rsidR="0075157D" w:rsidRPr="0075157D" w:rsidRDefault="0075157D" w:rsidP="0075157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Обвезник по овом тарифном броју је корисник простора, правно и физичко лице, односно предузетник који држи апарате за игре, односно</w:t>
      </w:r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приређује забавне игре у простору. </w:t>
      </w:r>
    </w:p>
    <w:p w14:paraId="6F281203" w14:textId="4FE7BFBF" w:rsidR="0075157D" w:rsidRDefault="0075157D" w:rsidP="0075157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Обвезници који држе средства за игру подложнa такси по овом тафирном броју дужни су да пре почетка коришћења средстава за игру пријаве сва средства надлежном општинском органу управе –</w:t>
      </w:r>
      <w:r w:rsidR="00247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Одељењу за финансије</w:t>
      </w:r>
      <w:r w:rsidR="006101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 утврђивања комуналних такси, као и престанак коришћења средстава, а таксу су дужни плаћати месечно сходно броју дана у месецу, до 15. </w:t>
      </w:r>
      <w:proofErr w:type="gramStart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5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месецу за претходни месец.</w:t>
      </w:r>
    </w:p>
    <w:p w14:paraId="2B8F764F" w14:textId="77777777" w:rsidR="00D560E8" w:rsidRDefault="00D560E8" w:rsidP="00D560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BA8686" w14:textId="77777777" w:rsidR="00D560E8" w:rsidRDefault="00D560E8" w:rsidP="00D560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783A5" w14:textId="77777777" w:rsidR="00D560E8" w:rsidRDefault="00D560E8" w:rsidP="00D560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B7DA0" w14:textId="77777777" w:rsidR="00D560E8" w:rsidRPr="00D560E8" w:rsidRDefault="00D560E8" w:rsidP="00D56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14:paraId="54AF432F" w14:textId="77777777" w:rsidR="00D560E8" w:rsidRPr="00D560E8" w:rsidRDefault="00D560E8" w:rsidP="00D56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38B1ABC" w14:textId="5117C021" w:rsidR="00D560E8" w:rsidRPr="00D560E8" w:rsidRDefault="00D560E8" w:rsidP="00D56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Правни основ за доношење Одлуке локалним комуналним таксама на територији општине Љиг садржан је у одредбама члана 11. став 1. и члана 18. Закона о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финансирању локалне самоуправе (''Сл. гласник.РС'' бр. 62/2006, 47/2011, 93/2012, 99/2013 – усклађени дин. изн., 125/2014 – усклађени дин изн. и 95/2015-усклађени дин изн. 83/2016, 91/2016-усклађени дин изн. и 104/2016 и усклађени дин изн. и 96/2017-усклађени дин изн. и 89/201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8, 86/2019-усклађени дин изн., </w:t>
      </w: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126/2020- усклађени дин изн.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99/2021-усклађени ди</w:t>
      </w:r>
      <w:r w:rsidR="00154C91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.изн.</w:t>
      </w: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</w:p>
    <w:p w14:paraId="4A8D6541" w14:textId="77777777" w:rsidR="00D560E8" w:rsidRPr="00D560E8" w:rsidRDefault="00D560E8" w:rsidP="00D56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Одредбама члана 7. Закона о финансирању локалне самоуправе предвиђено је да скупштина јединице локалне самоуправе својом одлуком утврђује стопе изворних прихода, као и начин и мерила за одређивање висине локалних такса и накнада, у поступку утврђивања буџета за наредну годину.</w:t>
      </w:r>
    </w:p>
    <w:p w14:paraId="2D7248FA" w14:textId="77777777" w:rsidR="00D560E8" w:rsidRPr="00D560E8" w:rsidRDefault="00D560E8" w:rsidP="00D56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Одредбама члана 11. став 1. наведеног закона предвиђено је да скупштина јединице локалне самоуправе може уводити локалне комуналне таксе за коришћење права, предмета и услуга.</w:t>
      </w:r>
    </w:p>
    <w:p w14:paraId="14667AE9" w14:textId="77777777" w:rsidR="00D560E8" w:rsidRPr="00D560E8" w:rsidRDefault="00D560E8" w:rsidP="00D56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Одредбама члана 18. наведеног закона, прописано је да се актом скупштине јединице локалне самоуправе којим се уводи локална комунална такса утврђују обвезници, висина, олакшице, рокови и начин плаћања локалне комуналне таксе.</w:t>
      </w:r>
    </w:p>
    <w:p w14:paraId="3A85F930" w14:textId="77777777" w:rsidR="00D560E8" w:rsidRPr="00D560E8" w:rsidRDefault="00D560E8" w:rsidP="00D56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Законом о финансирању локалне самоуправе предвиђено је ограничење највиших износа такси за истицање фирме на пословном простору за одређена правна лица разврстана у складу са Законом о рачуноводству, и то за мала и средња правна лица до две зараде и за велика правна лица до три просечне зараде по запосленом, остварене на територији јединице локалне самоуправе у периоду јануар – август године која претходи години за коју се утврђује такса. Поред тога, предвиђено је ограничење износа такси до десет зарада, за правна лица када обављају одређене делатности прописане Законом о финансирању локалне самоуправе, и то: банкарства, осигурања имовине и лица, производње и трговине нафтом и дериватима нафте, производње и трговине на велико дуванским производима, производње цемента, поштанских, мобилних и телефонских услуга, електропривреде, казина, коцкарница, кладионица, бинго сала и пружања коцкарских услуга и ноћних барова и дискотека.</w:t>
      </w:r>
    </w:p>
    <w:p w14:paraId="40B57749" w14:textId="77777777" w:rsidR="00D560E8" w:rsidRPr="00D560E8" w:rsidRDefault="00D560E8" w:rsidP="00D56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Највиши износи таксе за држање моторних друмских и прикључних возила предвиђени су чланом 15в. Закона о финансирању локалне самоуправе, односно актом који Влада Републике Србије сваке године објављује, на предлог министарства надлежног за послове финансија, као износе који су усклађени са годишњим индексом потрошачких цена у претходном периоду.</w:t>
      </w:r>
    </w:p>
    <w:p w14:paraId="3419A562" w14:textId="635EEFCE" w:rsidR="00D560E8" w:rsidRPr="00D560E8" w:rsidRDefault="00D560E8" w:rsidP="0024711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пре</w:t>
      </w:r>
      <w:r w:rsidR="00903DF7">
        <w:rPr>
          <w:rFonts w:ascii="Times New Roman" w:eastAsia="Calibri" w:hAnsi="Times New Roman" w:cs="Times New Roman"/>
          <w:sz w:val="24"/>
          <w:szCs w:val="24"/>
          <w:lang w:val="sr-Cyrl-RS"/>
        </w:rPr>
        <w:t>тходно наведеног, припремљен је нацрт Одлуке о локалним комуналним таксама на територији општине Љиг</w:t>
      </w: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56EA7DF6" w14:textId="77777777" w:rsidR="00D560E8" w:rsidRPr="00D560E8" w:rsidRDefault="00D560E8" w:rsidP="00D56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60E8">
        <w:rPr>
          <w:rFonts w:ascii="Times New Roman" w:eastAsia="Calibri" w:hAnsi="Times New Roman" w:cs="Times New Roman"/>
          <w:sz w:val="24"/>
          <w:szCs w:val="24"/>
          <w:lang w:val="sr-Cyrl-RS"/>
        </w:rPr>
        <w:t>Одељење за финансије</w:t>
      </w:r>
    </w:p>
    <w:p w14:paraId="581216EC" w14:textId="77777777" w:rsidR="00D560E8" w:rsidRPr="0075157D" w:rsidRDefault="00D560E8" w:rsidP="00D560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71D23" w14:textId="74429019" w:rsidR="009C5777" w:rsidRDefault="005D50E7" w:rsidP="005D50E7">
      <w:r w:rsidRPr="005D50E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C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465"/>
    <w:multiLevelType w:val="multilevel"/>
    <w:tmpl w:val="EE1A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25F5B"/>
    <w:multiLevelType w:val="multilevel"/>
    <w:tmpl w:val="FF38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40840"/>
    <w:multiLevelType w:val="multilevel"/>
    <w:tmpl w:val="4424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E7"/>
    <w:rsid w:val="00082E4D"/>
    <w:rsid w:val="00091972"/>
    <w:rsid w:val="00154C91"/>
    <w:rsid w:val="002277C2"/>
    <w:rsid w:val="00247115"/>
    <w:rsid w:val="00247F29"/>
    <w:rsid w:val="0029440F"/>
    <w:rsid w:val="003427C8"/>
    <w:rsid w:val="003D0CE2"/>
    <w:rsid w:val="00483362"/>
    <w:rsid w:val="005400AB"/>
    <w:rsid w:val="005D50E7"/>
    <w:rsid w:val="006101FD"/>
    <w:rsid w:val="0075157D"/>
    <w:rsid w:val="00903DF7"/>
    <w:rsid w:val="009C5777"/>
    <w:rsid w:val="00A53A9E"/>
    <w:rsid w:val="00A95595"/>
    <w:rsid w:val="00D01720"/>
    <w:rsid w:val="00D560E8"/>
    <w:rsid w:val="00DE25C3"/>
    <w:rsid w:val="00E20A4F"/>
    <w:rsid w:val="00F04C8C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1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Opstina23</dc:creator>
  <cp:lastModifiedBy>Korisnik</cp:lastModifiedBy>
  <cp:revision>9</cp:revision>
  <dcterms:created xsi:type="dcterms:W3CDTF">2021-11-03T13:11:00Z</dcterms:created>
  <dcterms:modified xsi:type="dcterms:W3CDTF">2021-11-03T19:08:00Z</dcterms:modified>
</cp:coreProperties>
</file>