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88D6" w14:textId="4A1364B0" w:rsidR="009B1F92" w:rsidRPr="008875AE" w:rsidRDefault="008875AE" w:rsidP="008875AE">
      <w:pPr>
        <w:pStyle w:val="NoSpacing"/>
        <w:ind w:left="360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Pr="008875AE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     </w:t>
      </w:r>
      <w:r w:rsidRPr="008875AE">
        <w:rPr>
          <w:rFonts w:ascii="Times New Roman" w:hAnsi="Times New Roman" w:cs="Times New Roman"/>
          <w:bCs/>
          <w:sz w:val="24"/>
          <w:szCs w:val="24"/>
          <w:lang w:val="sr-Cyrl-RS"/>
        </w:rPr>
        <w:t>Нацрт</w:t>
      </w:r>
    </w:p>
    <w:p w14:paraId="21862A9C" w14:textId="77777777" w:rsidR="008875AE" w:rsidRDefault="008875AE" w:rsidP="00AC0A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596A35" w14:textId="6F70C9C0" w:rsidR="009B1F92" w:rsidRDefault="00AC0ACD" w:rsidP="00AC0A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0ACD">
        <w:rPr>
          <w:rFonts w:ascii="Times New Roman" w:hAnsi="Times New Roman" w:cs="Times New Roman"/>
          <w:sz w:val="24"/>
          <w:szCs w:val="24"/>
          <w:lang w:val="sr-Cyrl-RS"/>
        </w:rPr>
        <w:t>На основу члана 32. Закона о локалној самоуправи (''Сл. гласник РС'', бр. 129/07</w:t>
      </w:r>
      <w:r w:rsidR="00EA2AF6">
        <w:rPr>
          <w:rFonts w:ascii="Times New Roman" w:hAnsi="Times New Roman" w:cs="Times New Roman"/>
          <w:sz w:val="24"/>
          <w:szCs w:val="24"/>
        </w:rPr>
        <w:t xml:space="preserve">,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83/2014 – др. Закон и 101/2016 – др. Закон</w:t>
      </w:r>
      <w:r w:rsidR="00EA2AF6">
        <w:rPr>
          <w:rFonts w:ascii="Times New Roman" w:hAnsi="Times New Roman" w:cs="Times New Roman"/>
          <w:sz w:val="24"/>
          <w:szCs w:val="24"/>
        </w:rPr>
        <w:t xml:space="preserve">,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47/2018</w:t>
      </w:r>
      <w:r w:rsidR="00CE0EF4">
        <w:rPr>
          <w:rFonts w:ascii="Times New Roman" w:hAnsi="Times New Roman" w:cs="Times New Roman"/>
          <w:sz w:val="24"/>
          <w:szCs w:val="24"/>
        </w:rPr>
        <w:t xml:space="preserve"> </w:t>
      </w:r>
      <w:r w:rsidR="00CE0EF4">
        <w:rPr>
          <w:rFonts w:ascii="Times New Roman" w:hAnsi="Times New Roman" w:cs="Times New Roman"/>
          <w:sz w:val="24"/>
          <w:szCs w:val="24"/>
          <w:lang w:val="sr-Cyrl-RS"/>
        </w:rPr>
        <w:t>и 111/2021 – др. Закон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) и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6,7,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11. и 15. Закона о финансирању локалне самоуправе (''Сл. гласник.РС'' бр. 62/2006, 47/2011, 93/2012, 99/2013 – усклађени дин. изн., 125/2014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усклађени дин изн.</w:t>
      </w:r>
      <w:r w:rsidR="00EA2A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95/2015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ускл</w:t>
      </w:r>
      <w:r>
        <w:rPr>
          <w:rFonts w:ascii="Times New Roman" w:hAnsi="Times New Roman" w:cs="Times New Roman"/>
          <w:sz w:val="24"/>
          <w:szCs w:val="24"/>
          <w:lang w:val="sr-Cyrl-RS"/>
        </w:rPr>
        <w:t>ађени дин изн. 83/2016, 91/2016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усклађени дин изн.</w:t>
      </w:r>
      <w:r w:rsidR="00EA2AF6">
        <w:rPr>
          <w:rFonts w:ascii="Times New Roman" w:hAnsi="Times New Roman" w:cs="Times New Roman"/>
          <w:sz w:val="24"/>
          <w:szCs w:val="24"/>
        </w:rPr>
        <w:t xml:space="preserve">,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104/2016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- др.закон, </w:t>
      </w:r>
      <w:r>
        <w:rPr>
          <w:rFonts w:ascii="Times New Roman" w:hAnsi="Times New Roman" w:cs="Times New Roman"/>
          <w:sz w:val="24"/>
          <w:szCs w:val="24"/>
          <w:lang w:val="sr-Cyrl-RS"/>
        </w:rPr>
        <w:t>96/2017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усклађени дин изн.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89/2018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A2AF6" w:rsidRPr="00AC0ACD">
        <w:rPr>
          <w:rFonts w:ascii="Times New Roman" w:hAnsi="Times New Roman" w:cs="Times New Roman"/>
          <w:sz w:val="24"/>
          <w:szCs w:val="24"/>
          <w:lang w:val="sr-Cyrl-RS"/>
        </w:rPr>
        <w:t>ускл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>ађени дин изн.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95/2018 </w:t>
      </w:r>
      <w:r w:rsidR="000B04E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др. Закон, </w:t>
      </w:r>
      <w:r w:rsidR="008B5A82" w:rsidRPr="008B5A82">
        <w:rPr>
          <w:rFonts w:ascii="Times New Roman" w:hAnsi="Times New Roman" w:cs="Times New Roman"/>
          <w:sz w:val="24"/>
          <w:szCs w:val="24"/>
          <w:lang w:val="sr-Cyrl-RS"/>
        </w:rPr>
        <w:t>86/2019 - усклађени дин. изн., 126/2020 - усклађени дин. изн., 99/2021 - усклађени дин. изн. и 111/2021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– др. Закон</w:t>
      </w:r>
      <w:r w:rsidR="002D1BA1">
        <w:rPr>
          <w:rFonts w:ascii="Times New Roman" w:hAnsi="Times New Roman" w:cs="Times New Roman"/>
          <w:sz w:val="24"/>
          <w:szCs w:val="24"/>
        </w:rPr>
        <w:t>, 124/2022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A2AF6" w:rsidRPr="00AC0ACD">
        <w:rPr>
          <w:rFonts w:ascii="Times New Roman" w:hAnsi="Times New Roman" w:cs="Times New Roman"/>
          <w:sz w:val="24"/>
          <w:szCs w:val="24"/>
          <w:lang w:val="sr-Cyrl-RS"/>
        </w:rPr>
        <w:t>ускл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>ађени дин изн.</w:t>
      </w:r>
      <w:r w:rsidR="002D1BA1">
        <w:rPr>
          <w:rFonts w:ascii="Times New Roman" w:hAnsi="Times New Roman" w:cs="Times New Roman"/>
          <w:sz w:val="24"/>
          <w:szCs w:val="24"/>
        </w:rPr>
        <w:t>, 97/2023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A2AF6" w:rsidRPr="00EA2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AF6" w:rsidRPr="00AC0ACD">
        <w:rPr>
          <w:rFonts w:ascii="Times New Roman" w:hAnsi="Times New Roman" w:cs="Times New Roman"/>
          <w:sz w:val="24"/>
          <w:szCs w:val="24"/>
          <w:lang w:val="sr-Cyrl-RS"/>
        </w:rPr>
        <w:t>ускл</w:t>
      </w:r>
      <w:r w:rsidR="00EA2AF6">
        <w:rPr>
          <w:rFonts w:ascii="Times New Roman" w:hAnsi="Times New Roman" w:cs="Times New Roman"/>
          <w:sz w:val="24"/>
          <w:szCs w:val="24"/>
          <w:lang w:val="sr-Cyrl-RS"/>
        </w:rPr>
        <w:t>ађени дин изн.</w:t>
      </w:r>
      <w:r w:rsidR="00474B68">
        <w:rPr>
          <w:rFonts w:ascii="Times New Roman" w:hAnsi="Times New Roman" w:cs="Times New Roman"/>
          <w:sz w:val="24"/>
          <w:szCs w:val="24"/>
          <w:lang w:val="sr-Cyrl-RS"/>
        </w:rPr>
        <w:t>и 85/2024 – усклађени дин.изн.</w:t>
      </w:r>
      <w:r w:rsidR="008B5A82" w:rsidRPr="008B5A8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B5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31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8314EF">
        <w:rPr>
          <w:rFonts w:ascii="Times New Roman" w:hAnsi="Times New Roman" w:cs="Times New Roman"/>
          <w:sz w:val="24"/>
          <w:szCs w:val="24"/>
          <w:lang w:val="sr-Cyrl-RS"/>
        </w:rPr>
        <w:t xml:space="preserve">40.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општине Љиг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(,,Сл. гласник општине Љиг“</w:t>
      </w:r>
      <w:r w:rsidR="00E1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E161D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B04E7">
        <w:rPr>
          <w:rFonts w:ascii="Times New Roman" w:hAnsi="Times New Roman" w:cs="Times New Roman"/>
          <w:sz w:val="24"/>
          <w:szCs w:val="24"/>
          <w:lang w:val="sr-Cyrl-RS"/>
        </w:rPr>
        <w:t>/19</w:t>
      </w:r>
      <w:r w:rsidR="00E161D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B04E7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A7151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71512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AC0ACD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одржаној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______________године, донела је</w:t>
      </w:r>
    </w:p>
    <w:p w14:paraId="1C4C65BF" w14:textId="77777777" w:rsidR="00AC0ACD" w:rsidRDefault="00AC0ACD" w:rsidP="00AC0A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E818D8" w14:textId="77777777" w:rsidR="00CE1F7B" w:rsidRPr="00CE1F7B" w:rsidRDefault="00CE1F7B" w:rsidP="009B1F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14:paraId="180DE2C0" w14:textId="77777777" w:rsidR="00CE1F7B" w:rsidRPr="00CE1F7B" w:rsidRDefault="00CE1F7B" w:rsidP="00850E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О ЛОКАЛНИМ КОМУНАЛНИМ ТАКСАМА</w:t>
      </w:r>
      <w:r w:rsidR="00925472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ОПШТИНЕ ЉИГ</w:t>
      </w:r>
    </w:p>
    <w:p w14:paraId="67C08FC7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8AFB0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58F072" w14:textId="77777777" w:rsidR="00EA5010" w:rsidRPr="004368F7" w:rsidRDefault="004368F7" w:rsidP="009B2C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CE1F7B"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490D0268" w14:textId="77777777" w:rsidR="009B2CA0" w:rsidRDefault="00EA501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10">
        <w:rPr>
          <w:rFonts w:ascii="Times New Roman" w:hAnsi="Times New Roman" w:cs="Times New Roman"/>
          <w:sz w:val="24"/>
          <w:szCs w:val="24"/>
          <w:lang w:val="sr-Cyrl-RS"/>
        </w:rPr>
        <w:t xml:space="preserve">Овом одлуком уводе се локалне комуналне таксе за коришћење права,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предмета и услуга на територији 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 xml:space="preserve"> и утврђују обвезници, висина, олакшице, рокови и начин плаћања локалне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>комуналне таксе.</w:t>
      </w:r>
    </w:p>
    <w:p w14:paraId="13222414" w14:textId="77777777" w:rsidR="009B2CA0" w:rsidRPr="009B2CA0" w:rsidRDefault="009B2CA0" w:rsidP="009B2C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CED402" w14:textId="77777777" w:rsidR="009B2CA0" w:rsidRPr="004368F7" w:rsidRDefault="009B2CA0" w:rsidP="009B2CA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2 .</w:t>
      </w:r>
    </w:p>
    <w:p w14:paraId="5CA801CE" w14:textId="5A0CECE8" w:rsidR="009B2CA0" w:rsidRPr="009B2CA0" w:rsidRDefault="009B2CA0" w:rsidP="009B2C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t>Локалне комуналне таксе уводе се за:</w:t>
      </w:r>
    </w:p>
    <w:p w14:paraId="345A14B4" w14:textId="77777777" w:rsidR="009B2CA0" w:rsidRPr="009B2CA0" w:rsidRDefault="009B2CA0" w:rsidP="009B2C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t>1. истицање фирме на пословном простору,</w:t>
      </w:r>
    </w:p>
    <w:p w14:paraId="7ED90132" w14:textId="77777777" w:rsidR="009B2CA0" w:rsidRPr="009B2CA0" w:rsidRDefault="009B2CA0" w:rsidP="009B2C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t>2. држање моторних друмских и прикључних возила, осим пољопривредних возила и машина,</w:t>
      </w:r>
    </w:p>
    <w:p w14:paraId="660FEA20" w14:textId="77777777" w:rsidR="009B2CA0" w:rsidRDefault="009B2CA0" w:rsidP="009B2C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t>3. држање средстава за игру ("забавне игре").</w:t>
      </w:r>
    </w:p>
    <w:p w14:paraId="0B95BD59" w14:textId="77777777" w:rsidR="009B2CA0" w:rsidRDefault="009B2CA0" w:rsidP="009B2C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8DAC25" w14:textId="77777777" w:rsidR="00EA5010" w:rsidRPr="004368F7" w:rsidRDefault="009B2CA0" w:rsidP="009B2CA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EA5010"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811AC61" w14:textId="77777777" w:rsidR="00EA5010" w:rsidRDefault="00EA5010" w:rsidP="00EA50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10">
        <w:rPr>
          <w:rFonts w:ascii="Times New Roman" w:hAnsi="Times New Roman" w:cs="Times New Roman"/>
          <w:sz w:val="24"/>
          <w:szCs w:val="24"/>
          <w:lang w:val="sr-Cyrl-RS"/>
        </w:rPr>
        <w:t>Обвезник локалне комуналне таксе је корисник права, предмет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и услуга за чије је коришћење 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>прописано плаћање локалне комуналне таксе .</w:t>
      </w:r>
    </w:p>
    <w:p w14:paraId="590EF422" w14:textId="77777777" w:rsidR="00EA5010" w:rsidRPr="00EA5010" w:rsidRDefault="00EA5010" w:rsidP="00EA50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B88F99" w14:textId="77777777" w:rsidR="00EA5010" w:rsidRPr="004368F7" w:rsidRDefault="009B2CA0" w:rsidP="00EA501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4</w:t>
      </w:r>
      <w:r w:rsidR="00EA5010"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C69B2DB" w14:textId="77777777" w:rsidR="00EA5010" w:rsidRPr="00EA5010" w:rsidRDefault="00EA5010" w:rsidP="00EA50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10">
        <w:rPr>
          <w:rFonts w:ascii="Times New Roman" w:hAnsi="Times New Roman" w:cs="Times New Roman"/>
          <w:sz w:val="24"/>
          <w:szCs w:val="24"/>
          <w:lang w:val="sr-Cyrl-RS"/>
        </w:rPr>
        <w:t>Таксена обавеза настаје даном почетка коришћења права, пр</w:t>
      </w:r>
      <w:r w:rsidR="009B2CA0">
        <w:rPr>
          <w:rFonts w:ascii="Times New Roman" w:hAnsi="Times New Roman" w:cs="Times New Roman"/>
          <w:sz w:val="24"/>
          <w:szCs w:val="24"/>
        </w:rPr>
        <w:t>e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 xml:space="preserve">дмета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услуга за чије је коришћење 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</w:t>
      </w:r>
      <w:r w:rsidR="009B2CA0">
        <w:rPr>
          <w:rFonts w:ascii="Times New Roman" w:hAnsi="Times New Roman" w:cs="Times New Roman"/>
          <w:sz w:val="24"/>
          <w:szCs w:val="24"/>
          <w:lang w:val="sr-Cyrl-RS"/>
        </w:rPr>
        <w:t>плаћање локалне комуналне таксе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FF3FF8" w14:textId="77777777" w:rsidR="00EA5010" w:rsidRDefault="00EA5010" w:rsidP="00EA50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10">
        <w:rPr>
          <w:rFonts w:ascii="Times New Roman" w:hAnsi="Times New Roman" w:cs="Times New Roman"/>
          <w:sz w:val="24"/>
          <w:szCs w:val="24"/>
          <w:lang w:val="sr-Cyrl-RS"/>
        </w:rPr>
        <w:t>Таксена обавеза траје док траје кориш</w:t>
      </w:r>
      <w:r w:rsidR="00AC5384">
        <w:rPr>
          <w:rFonts w:ascii="Times New Roman" w:hAnsi="Times New Roman" w:cs="Times New Roman"/>
          <w:sz w:val="24"/>
          <w:szCs w:val="24"/>
          <w:lang w:val="sr-Cyrl-RS"/>
        </w:rPr>
        <w:t>ћење права, предмета или услуга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445E0B6" w14:textId="77777777" w:rsidR="00EA5010" w:rsidRPr="00EA5010" w:rsidRDefault="00EA5010" w:rsidP="00EA50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CA9B3A" w14:textId="77777777" w:rsidR="00EA5010" w:rsidRPr="004368F7" w:rsidRDefault="00EA5010" w:rsidP="00EA501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14:paraId="62B1FC99" w14:textId="77777777" w:rsidR="00EA5010" w:rsidRDefault="00EA5010" w:rsidP="00EA50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10">
        <w:rPr>
          <w:rFonts w:ascii="Times New Roman" w:hAnsi="Times New Roman" w:cs="Times New Roman"/>
          <w:sz w:val="24"/>
          <w:szCs w:val="24"/>
          <w:lang w:val="sr-Cyrl-RS"/>
        </w:rPr>
        <w:t>Локалне комуналне таксе не плаћају се за коришћење права, предмет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или услуга од стране државних </w:t>
      </w:r>
      <w:r w:rsidRPr="00EA5010">
        <w:rPr>
          <w:rFonts w:ascii="Times New Roman" w:hAnsi="Times New Roman" w:cs="Times New Roman"/>
          <w:sz w:val="24"/>
          <w:szCs w:val="24"/>
          <w:lang w:val="sr-Cyrl-RS"/>
        </w:rPr>
        <w:t>органа и организација, органа и организација територијалне аутономиј</w:t>
      </w:r>
      <w:r w:rsidR="009B2CA0">
        <w:rPr>
          <w:rFonts w:ascii="Times New Roman" w:hAnsi="Times New Roman" w:cs="Times New Roman"/>
          <w:sz w:val="24"/>
          <w:szCs w:val="24"/>
          <w:lang w:val="sr-Cyrl-RS"/>
        </w:rPr>
        <w:t>е и јединица локалне самоуправе.</w:t>
      </w:r>
    </w:p>
    <w:p w14:paraId="61347570" w14:textId="77777777" w:rsidR="009B2CA0" w:rsidRPr="009B2CA0" w:rsidRDefault="009B2CA0" w:rsidP="009B2C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8A2D31" w14:textId="77777777" w:rsidR="009B2CA0" w:rsidRPr="004368F7" w:rsidRDefault="009B2CA0" w:rsidP="009B2CA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6.</w:t>
      </w:r>
    </w:p>
    <w:p w14:paraId="33F49308" w14:textId="77777777" w:rsidR="00F709BA" w:rsidRPr="00AC5384" w:rsidRDefault="009B2CA0" w:rsidP="009B2C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t xml:space="preserve">Локалне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комуналне таксе из члана 2</w:t>
      </w:r>
      <w:r w:rsidRPr="009B2CA0">
        <w:rPr>
          <w:rFonts w:ascii="Times New Roman" w:hAnsi="Times New Roman" w:cs="Times New Roman"/>
          <w:sz w:val="24"/>
          <w:szCs w:val="24"/>
          <w:lang w:val="sr-Cyrl-RS"/>
        </w:rPr>
        <w:t xml:space="preserve">. ове Одлуке представљају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изворни приход</w:t>
      </w:r>
      <w:r w:rsidRPr="009B2C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 </w:t>
      </w:r>
      <w:r w:rsidR="00AC5384">
        <w:rPr>
          <w:rFonts w:ascii="Times New Roman" w:hAnsi="Times New Roman" w:cs="Times New Roman"/>
          <w:sz w:val="24"/>
          <w:szCs w:val="24"/>
          <w:lang w:val="sr-Cyrl-RS"/>
        </w:rPr>
        <w:t>и припадају буџету Општине Љиг</w:t>
      </w:r>
      <w:r w:rsidR="00AC5384">
        <w:rPr>
          <w:rFonts w:ascii="Times New Roman" w:hAnsi="Times New Roman" w:cs="Times New Roman"/>
          <w:sz w:val="24"/>
          <w:szCs w:val="24"/>
        </w:rPr>
        <w:t>.</w:t>
      </w:r>
    </w:p>
    <w:p w14:paraId="48B978C4" w14:textId="77777777" w:rsidR="00AC0ACD" w:rsidRDefault="009B2CA0" w:rsidP="008314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Уплата прихода од локалних комуналних такси врши се у новцу на одговарајуће уплатне рачуне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2CA0">
        <w:rPr>
          <w:rFonts w:ascii="Times New Roman" w:hAnsi="Times New Roman" w:cs="Times New Roman"/>
          <w:sz w:val="24"/>
          <w:szCs w:val="24"/>
          <w:lang w:val="sr-Cyrl-RS"/>
        </w:rPr>
        <w:t>прописане Правилником о условима и начину вођења рачуна за уплату јавних прихода и распоред средстава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4EF">
        <w:rPr>
          <w:rFonts w:ascii="Times New Roman" w:hAnsi="Times New Roman" w:cs="Times New Roman"/>
          <w:sz w:val="24"/>
          <w:szCs w:val="24"/>
          <w:lang w:val="sr-Cyrl-RS"/>
        </w:rPr>
        <w:t>тих рачуна.</w:t>
      </w:r>
    </w:p>
    <w:p w14:paraId="0E5ACF66" w14:textId="77777777" w:rsidR="008314EF" w:rsidRPr="008314EF" w:rsidRDefault="008314EF" w:rsidP="008314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32783" w14:textId="77777777" w:rsidR="00EA5010" w:rsidRPr="004368F7" w:rsidRDefault="009B2CA0" w:rsidP="009B2CA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7.</w:t>
      </w:r>
    </w:p>
    <w:p w14:paraId="5B9FB3EA" w14:textId="77777777" w:rsidR="009B2CA0" w:rsidRPr="009B2CA0" w:rsidRDefault="009B2CA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t>Наплату локалних комуналних такси из члана</w:t>
      </w:r>
      <w:r w:rsidR="0061697C">
        <w:rPr>
          <w:rFonts w:ascii="Times New Roman" w:hAnsi="Times New Roman" w:cs="Times New Roman"/>
          <w:sz w:val="24"/>
          <w:szCs w:val="24"/>
          <w:lang w:val="sr-Cyrl-RS"/>
        </w:rPr>
        <w:t xml:space="preserve"> 2. став 1. тачке 1. и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ове Одлуке врши Општинска управа </w:t>
      </w:r>
      <w:r w:rsidRPr="009B2CA0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9B2C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C6045B" w14:textId="77777777" w:rsidR="009B2CA0" w:rsidRDefault="009B2CA0" w:rsidP="00AC0A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CA0">
        <w:rPr>
          <w:rFonts w:ascii="Times New Roman" w:hAnsi="Times New Roman" w:cs="Times New Roman"/>
          <w:sz w:val="24"/>
          <w:szCs w:val="24"/>
          <w:lang w:val="sr-Cyrl-RS"/>
        </w:rPr>
        <w:t>Наплату ло</w:t>
      </w:r>
      <w:r>
        <w:rPr>
          <w:rFonts w:ascii="Times New Roman" w:hAnsi="Times New Roman" w:cs="Times New Roman"/>
          <w:sz w:val="24"/>
          <w:szCs w:val="24"/>
          <w:lang w:val="sr-Cyrl-RS"/>
        </w:rPr>
        <w:t>калне комуналне т</w:t>
      </w:r>
      <w:r w:rsidR="0061697C">
        <w:rPr>
          <w:rFonts w:ascii="Times New Roman" w:hAnsi="Times New Roman" w:cs="Times New Roman"/>
          <w:sz w:val="24"/>
          <w:szCs w:val="24"/>
          <w:lang w:val="sr-Cyrl-RS"/>
        </w:rPr>
        <w:t>аксе из члана 2. став 1. тачка 2</w:t>
      </w:r>
      <w:r w:rsidRPr="009B2CA0">
        <w:rPr>
          <w:rFonts w:ascii="Times New Roman" w:hAnsi="Times New Roman" w:cs="Times New Roman"/>
          <w:sz w:val="24"/>
          <w:szCs w:val="24"/>
          <w:lang w:val="sr-Cyrl-RS"/>
        </w:rPr>
        <w:t>. ове Одлуке врши орг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 надлежан за </w:t>
      </w:r>
      <w:r w:rsidRPr="009B2CA0">
        <w:rPr>
          <w:rFonts w:ascii="Times New Roman" w:hAnsi="Times New Roman" w:cs="Times New Roman"/>
          <w:sz w:val="24"/>
          <w:szCs w:val="24"/>
          <w:lang w:val="sr-Cyrl-RS"/>
        </w:rPr>
        <w:t>регистрацију возила.</w:t>
      </w:r>
    </w:p>
    <w:p w14:paraId="7FA1E38F" w14:textId="77777777" w:rsidR="009B2CA0" w:rsidRPr="004368F7" w:rsidRDefault="009B2CA0" w:rsidP="00CE1F7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0A3D040" w14:textId="77777777" w:rsidR="009B2CA0" w:rsidRPr="004368F7" w:rsidRDefault="00AC0ACD" w:rsidP="00AC0A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4368F7"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14:paraId="2778DEEC" w14:textId="77777777" w:rsidR="009B2CA0" w:rsidRPr="00AC5384" w:rsidRDefault="009B2CA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84">
        <w:rPr>
          <w:rFonts w:ascii="Times New Roman" w:hAnsi="Times New Roman" w:cs="Times New Roman"/>
          <w:sz w:val="24"/>
          <w:szCs w:val="24"/>
          <w:lang w:val="sr-Cyrl-RS"/>
        </w:rPr>
        <w:t>Обвезник локалне комуналне таксе дужан је да, за коришћење права, предмета или услуга за чије коришћење је прописано плаћање локалне комуналне таксе, поднесе пријаву.</w:t>
      </w:r>
    </w:p>
    <w:p w14:paraId="630CDC00" w14:textId="77777777" w:rsidR="009B2CA0" w:rsidRPr="00AC5384" w:rsidRDefault="009B2CA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84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обвезник локалне комуналне таксе не поднесе пријаву у року прописаном овом Одлуком, обавеза се може утврдити по службеној дужности на основу налаза надлежног инспектора, података из евиденције надлежних органа и других података којима располаже орган надлежан за утврђивање таксе. </w:t>
      </w:r>
    </w:p>
    <w:p w14:paraId="7F60D04A" w14:textId="77777777" w:rsidR="009B2CA0" w:rsidRPr="00AC5384" w:rsidRDefault="009B2CA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84">
        <w:rPr>
          <w:rFonts w:ascii="Times New Roman" w:hAnsi="Times New Roman" w:cs="Times New Roman"/>
          <w:sz w:val="24"/>
          <w:szCs w:val="24"/>
          <w:lang w:val="sr-Cyrl-RS"/>
        </w:rPr>
        <w:t>Пријава се подноси посебно за тарифни број 1. и 3.</w:t>
      </w:r>
    </w:p>
    <w:p w14:paraId="402398C6" w14:textId="0087E220" w:rsidR="009B2CA0" w:rsidRPr="00AC5384" w:rsidRDefault="009B2CA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84">
        <w:rPr>
          <w:rFonts w:ascii="Times New Roman" w:hAnsi="Times New Roman" w:cs="Times New Roman"/>
          <w:sz w:val="24"/>
          <w:szCs w:val="24"/>
          <w:lang w:val="sr-Cyrl-RS"/>
        </w:rPr>
        <w:t>Пријава за тарифни</w:t>
      </w:r>
      <w:r w:rsidR="00AC5384">
        <w:rPr>
          <w:rFonts w:ascii="Times New Roman" w:hAnsi="Times New Roman" w:cs="Times New Roman"/>
          <w:sz w:val="24"/>
          <w:szCs w:val="24"/>
          <w:lang w:val="sr-Cyrl-RS"/>
        </w:rPr>
        <w:t xml:space="preserve"> број 1. подноси се до </w:t>
      </w:r>
      <w:r w:rsidR="0057706E">
        <w:rPr>
          <w:rFonts w:ascii="Times New Roman" w:hAnsi="Times New Roman" w:cs="Times New Roman"/>
          <w:sz w:val="24"/>
          <w:szCs w:val="24"/>
        </w:rPr>
        <w:t>30</w:t>
      </w:r>
      <w:r w:rsidR="00AC53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5384">
        <w:rPr>
          <w:rFonts w:ascii="Times New Roman" w:hAnsi="Times New Roman" w:cs="Times New Roman"/>
          <w:sz w:val="24"/>
          <w:szCs w:val="24"/>
        </w:rPr>
        <w:t xml:space="preserve"> </w:t>
      </w:r>
      <w:r w:rsidR="0057706E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AC538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за коју се утврђује локална комунална такса или у року од 15 дана од дана почетка обављања делатности. </w:t>
      </w:r>
    </w:p>
    <w:p w14:paraId="30A8C15E" w14:textId="116C3C4B" w:rsidR="009B2CA0" w:rsidRPr="00AC5384" w:rsidRDefault="009B2CA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84">
        <w:rPr>
          <w:rFonts w:ascii="Times New Roman" w:hAnsi="Times New Roman" w:cs="Times New Roman"/>
          <w:sz w:val="24"/>
          <w:szCs w:val="24"/>
          <w:lang w:val="sr-Cyrl-RS"/>
        </w:rPr>
        <w:t>Пријава за тарифни</w:t>
      </w:r>
      <w:r w:rsidR="00002BB3">
        <w:rPr>
          <w:rFonts w:ascii="Times New Roman" w:hAnsi="Times New Roman" w:cs="Times New Roman"/>
          <w:sz w:val="24"/>
          <w:szCs w:val="24"/>
          <w:lang w:val="sr-Cyrl-RS"/>
        </w:rPr>
        <w:t xml:space="preserve"> број 3. подноси се до </w:t>
      </w:r>
      <w:r w:rsidR="0057706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02B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06E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AC538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за коју се утврђује локална комунална такса или у року од 15 дана од дана почетка држања средстава за игру.</w:t>
      </w:r>
    </w:p>
    <w:p w14:paraId="550EFA08" w14:textId="77777777" w:rsidR="009B2CA0" w:rsidRPr="00AC5384" w:rsidRDefault="009B2CA0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84">
        <w:rPr>
          <w:rFonts w:ascii="Times New Roman" w:hAnsi="Times New Roman" w:cs="Times New Roman"/>
          <w:sz w:val="24"/>
          <w:szCs w:val="24"/>
          <w:lang w:val="sr-Cyrl-RS"/>
        </w:rPr>
        <w:t>Обвезник је дужан да сваку промену (трајне или привремене одјаве делатности, промене делатности, промене локације објекта, стечаја или ликвидације и сл.) прија</w:t>
      </w:r>
      <w:r w:rsidR="009B1F92">
        <w:rPr>
          <w:rFonts w:ascii="Times New Roman" w:hAnsi="Times New Roman" w:cs="Times New Roman"/>
          <w:sz w:val="24"/>
          <w:szCs w:val="24"/>
          <w:lang w:val="sr-Cyrl-RS"/>
        </w:rPr>
        <w:t>ви надлежном органу у року од 15</w:t>
      </w:r>
      <w:r w:rsidRPr="00AC538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настале промене.</w:t>
      </w:r>
    </w:p>
    <w:p w14:paraId="3A9AD84D" w14:textId="77777777" w:rsidR="009B2CA0" w:rsidRPr="00AC5384" w:rsidRDefault="009B2CA0" w:rsidP="009B2CA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68E22E" w14:textId="77777777" w:rsidR="009B2CA0" w:rsidRPr="004368F7" w:rsidRDefault="009F5927" w:rsidP="009F59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9.</w:t>
      </w:r>
    </w:p>
    <w:p w14:paraId="0FB9E13F" w14:textId="3CE9735F" w:rsidR="009B2CA0" w:rsidRDefault="009F5927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927">
        <w:rPr>
          <w:rFonts w:ascii="Times New Roman" w:hAnsi="Times New Roman" w:cs="Times New Roman"/>
          <w:sz w:val="24"/>
          <w:szCs w:val="24"/>
          <w:lang w:val="sr-Cyrl-RS"/>
        </w:rPr>
        <w:t>У погледу начина утврђивања локалне комуналне таксе, поступка по пр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авним лековима, начина и рокова </w:t>
      </w:r>
      <w:r w:rsidRPr="009F5927">
        <w:rPr>
          <w:rFonts w:ascii="Times New Roman" w:hAnsi="Times New Roman" w:cs="Times New Roman"/>
          <w:sz w:val="24"/>
          <w:szCs w:val="24"/>
          <w:lang w:val="sr-Cyrl-RS"/>
        </w:rPr>
        <w:t xml:space="preserve">плаћања, камате, </w:t>
      </w:r>
      <w:r w:rsidR="008314EF">
        <w:rPr>
          <w:rFonts w:ascii="Times New Roman" w:hAnsi="Times New Roman" w:cs="Times New Roman"/>
          <w:sz w:val="24"/>
          <w:szCs w:val="24"/>
          <w:lang w:val="sr-Cyrl-RS"/>
        </w:rPr>
        <w:t xml:space="preserve">повраћаја, </w:t>
      </w:r>
      <w:r w:rsidRPr="009F5927">
        <w:rPr>
          <w:rFonts w:ascii="Times New Roman" w:hAnsi="Times New Roman" w:cs="Times New Roman"/>
          <w:sz w:val="24"/>
          <w:szCs w:val="24"/>
          <w:lang w:val="sr-Cyrl-RS"/>
        </w:rPr>
        <w:t>застарелости, наплате, принудне наплате и оста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лог што није посебно регулисано </w:t>
      </w:r>
      <w:r w:rsidRPr="009F5927">
        <w:rPr>
          <w:rFonts w:ascii="Times New Roman" w:hAnsi="Times New Roman" w:cs="Times New Roman"/>
          <w:sz w:val="24"/>
          <w:szCs w:val="24"/>
          <w:lang w:val="sr-Cyrl-RS"/>
        </w:rPr>
        <w:t>овом одлуком, примењују се одредбе закона којим се уређује порески пос</w:t>
      </w:r>
      <w:r w:rsidR="0061697C">
        <w:rPr>
          <w:rFonts w:ascii="Times New Roman" w:hAnsi="Times New Roman" w:cs="Times New Roman"/>
          <w:sz w:val="24"/>
          <w:szCs w:val="24"/>
          <w:lang w:val="sr-Cyrl-RS"/>
        </w:rPr>
        <w:t>туп</w:t>
      </w:r>
      <w:r w:rsidR="000351D6">
        <w:rPr>
          <w:rFonts w:ascii="Times New Roman" w:hAnsi="Times New Roman" w:cs="Times New Roman"/>
          <w:sz w:val="24"/>
          <w:szCs w:val="24"/>
          <w:lang w:val="sr-Cyrl-RS"/>
        </w:rPr>
        <w:t>ак и пореска администрација и За</w:t>
      </w:r>
      <w:r w:rsidR="0061697C">
        <w:rPr>
          <w:rFonts w:ascii="Times New Roman" w:hAnsi="Times New Roman" w:cs="Times New Roman"/>
          <w:sz w:val="24"/>
          <w:szCs w:val="24"/>
          <w:lang w:val="sr-Cyrl-RS"/>
        </w:rPr>
        <w:t>кон о финансирању локалне самоуправе</w:t>
      </w:r>
      <w:r w:rsidR="003913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02DBE4" w14:textId="77777777" w:rsidR="009F5927" w:rsidRDefault="009F5927" w:rsidP="009F59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</w:p>
    <w:p w14:paraId="2DBAA7E6" w14:textId="35A9F6F0" w:rsidR="0061697C" w:rsidRDefault="0061697C" w:rsidP="006169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697C">
        <w:rPr>
          <w:rFonts w:ascii="Times New Roman" w:hAnsi="Times New Roman" w:cs="Times New Roman"/>
          <w:sz w:val="24"/>
          <w:szCs w:val="24"/>
          <w:lang w:val="sr-Cyrl-RS"/>
        </w:rPr>
        <w:t xml:space="preserve">Послове инспекцијског надзора над применом одредаба ове Одлуке врши Општинска управа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Љиг</w:t>
      </w:r>
      <w:r w:rsidR="00624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697C">
        <w:rPr>
          <w:rFonts w:ascii="Times New Roman" w:hAnsi="Times New Roman" w:cs="Times New Roman"/>
          <w:sz w:val="24"/>
          <w:szCs w:val="24"/>
          <w:lang w:val="sr-Cyrl-RS"/>
        </w:rPr>
        <w:t>– Одељење за инспекцијске послове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C7F5DF" w14:textId="77777777" w:rsidR="000351D6" w:rsidRDefault="000351D6" w:rsidP="000351D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306B9D" w14:textId="77777777" w:rsidR="0061697C" w:rsidRPr="009B1F92" w:rsidRDefault="009B1F92" w:rsidP="000351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1F92"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</w:p>
    <w:p w14:paraId="329D4CC3" w14:textId="77777777" w:rsidR="009B1F92" w:rsidRPr="009B1F92" w:rsidRDefault="009B1F92" w:rsidP="009B1F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1F92">
        <w:rPr>
          <w:rFonts w:ascii="Times New Roman" w:hAnsi="Times New Roman" w:cs="Times New Roman"/>
          <w:sz w:val="24"/>
          <w:szCs w:val="24"/>
          <w:lang w:val="sr-Cyrl-RS"/>
        </w:rPr>
        <w:t>Новчаном казном од 50.000,00 динара казниће се за прекршај правно лице ако:</w:t>
      </w:r>
    </w:p>
    <w:p w14:paraId="5796AFCD" w14:textId="32886337" w:rsidR="009B1F92" w:rsidRPr="009B1F92" w:rsidRDefault="009B1F92" w:rsidP="009B1F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1F92">
        <w:rPr>
          <w:rFonts w:ascii="Times New Roman" w:hAnsi="Times New Roman" w:cs="Times New Roman"/>
          <w:sz w:val="24"/>
          <w:szCs w:val="24"/>
          <w:lang w:val="sr-Cyrl-RS"/>
        </w:rPr>
        <w:t xml:space="preserve">1) Општинској управи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 xml:space="preserve"> не поднесе или не 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днесе у прописаном року пријаву 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>за утврђивање обавезе по основу локалне комуналне</w:t>
      </w:r>
      <w:r w:rsidR="00391327">
        <w:rPr>
          <w:rFonts w:ascii="Times New Roman" w:hAnsi="Times New Roman" w:cs="Times New Roman"/>
          <w:sz w:val="24"/>
          <w:szCs w:val="24"/>
          <w:lang w:val="sr-Cyrl-RS"/>
        </w:rPr>
        <w:t xml:space="preserve"> таксе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 xml:space="preserve"> или у пријави наведе нетачне податке (члан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8. став 4. и став 5.Одлуке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4AE338F1" w14:textId="77777777" w:rsidR="009B1F92" w:rsidRPr="009B1F92" w:rsidRDefault="009B1F92" w:rsidP="009B1F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1F92">
        <w:rPr>
          <w:rFonts w:ascii="Times New Roman" w:hAnsi="Times New Roman" w:cs="Times New Roman"/>
          <w:sz w:val="24"/>
          <w:szCs w:val="24"/>
          <w:lang w:val="sr-Cyrl-RS"/>
        </w:rPr>
        <w:t xml:space="preserve">2) Општинској управи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 xml:space="preserve"> у прописаном року 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пријави промене од значаја за 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>утврђивање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наплату комуналне таксе (члан 8. став 6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>. Одлуке)</w:t>
      </w:r>
    </w:p>
    <w:p w14:paraId="0A0C5DDB" w14:textId="77777777" w:rsidR="009B1F92" w:rsidRPr="009B1F92" w:rsidRDefault="009B1F92" w:rsidP="009B1F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1F92">
        <w:rPr>
          <w:rFonts w:ascii="Times New Roman" w:hAnsi="Times New Roman" w:cs="Times New Roman"/>
          <w:sz w:val="24"/>
          <w:szCs w:val="24"/>
          <w:lang w:val="sr-Cyrl-RS"/>
        </w:rPr>
        <w:t>За прекршаје из става 1. овог члана казниће се одговорно лице у правно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лицу новчаном казном у износу </w:t>
      </w:r>
      <w:r w:rsidRPr="009B1F92">
        <w:rPr>
          <w:rFonts w:ascii="Times New Roman" w:hAnsi="Times New Roman" w:cs="Times New Roman"/>
          <w:sz w:val="24"/>
          <w:szCs w:val="24"/>
          <w:lang w:val="sr-Cyrl-RS"/>
        </w:rPr>
        <w:t>од 5.000,00 динара.</w:t>
      </w:r>
    </w:p>
    <w:p w14:paraId="1779480B" w14:textId="77777777" w:rsidR="009B1F92" w:rsidRPr="009B1F92" w:rsidRDefault="009B1F92" w:rsidP="009B1F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1F92">
        <w:rPr>
          <w:rFonts w:ascii="Times New Roman" w:hAnsi="Times New Roman" w:cs="Times New Roman"/>
          <w:sz w:val="24"/>
          <w:szCs w:val="24"/>
          <w:lang w:val="sr-Cyrl-RS"/>
        </w:rPr>
        <w:t>За прекршаје из става 1. овог члана казниће се предузетник новчан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 казном у износу од 20.000,00 динара.</w:t>
      </w:r>
    </w:p>
    <w:p w14:paraId="22CD8B4A" w14:textId="77777777" w:rsidR="0061697C" w:rsidRDefault="009B1F92" w:rsidP="009B1F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1F9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прекршаје из става 1. овог члана казниће се физичко лице новчаном казном у износу од 5.000,00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42655FB0" w14:textId="73E7188B" w:rsidR="00AC0ACD" w:rsidRDefault="00AC0ACD" w:rsidP="009B1F92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14B98E" w14:textId="77777777" w:rsidR="00AC0ACD" w:rsidRDefault="00AC0ACD" w:rsidP="00FC71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1F5587" w14:textId="71E4304F" w:rsidR="00BE2410" w:rsidRPr="00BE2410" w:rsidRDefault="00BE2410" w:rsidP="00BE241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2410">
        <w:rPr>
          <w:rFonts w:ascii="Times New Roman" w:hAnsi="Times New Roman" w:cs="Times New Roman"/>
          <w:b/>
          <w:sz w:val="24"/>
          <w:szCs w:val="24"/>
          <w:lang w:val="sr-Cyrl-RS"/>
        </w:rPr>
        <w:t>Члан 12.</w:t>
      </w:r>
    </w:p>
    <w:p w14:paraId="6120E6D2" w14:textId="36B077EB" w:rsidR="00BE2410" w:rsidRDefault="00BE2410" w:rsidP="00BE24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2410">
        <w:rPr>
          <w:rFonts w:ascii="Times New Roman" w:hAnsi="Times New Roman" w:cs="Times New Roman"/>
          <w:sz w:val="24"/>
          <w:szCs w:val="24"/>
          <w:lang w:val="sr-Cyrl-RS"/>
        </w:rPr>
        <w:t xml:space="preserve">Ступањем на снагу ове Одлуке престаје да важи Одлука </w:t>
      </w:r>
      <w:r w:rsidR="00345D94">
        <w:rPr>
          <w:rFonts w:ascii="Times New Roman" w:hAnsi="Times New Roman" w:cs="Times New Roman"/>
          <w:sz w:val="24"/>
          <w:szCs w:val="24"/>
          <w:lang w:val="sr-Cyrl-RS"/>
        </w:rPr>
        <w:t xml:space="preserve">о локалним комуналним таксама (,,Сл.гласник општине Љиг“ бр. </w:t>
      </w:r>
      <w:r w:rsidR="006248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74F91">
        <w:rPr>
          <w:rFonts w:ascii="Times New Roman" w:hAnsi="Times New Roman" w:cs="Times New Roman"/>
          <w:sz w:val="24"/>
          <w:szCs w:val="24"/>
        </w:rPr>
        <w:t>/202</w:t>
      </w:r>
      <w:r w:rsidR="006248A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45D9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B5F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26CF63B" w14:textId="77777777" w:rsidR="008B5A82" w:rsidRPr="00BE2410" w:rsidRDefault="008B5A82" w:rsidP="00BE24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43EAC5" w14:textId="77777777" w:rsidR="00BE2410" w:rsidRPr="00BE2410" w:rsidRDefault="00BE2410" w:rsidP="00BE241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2410">
        <w:rPr>
          <w:rFonts w:ascii="Times New Roman" w:hAnsi="Times New Roman" w:cs="Times New Roman"/>
          <w:b/>
          <w:sz w:val="24"/>
          <w:szCs w:val="24"/>
          <w:lang w:val="sr-Cyrl-RS"/>
        </w:rPr>
        <w:t>Члан 13.</w:t>
      </w:r>
    </w:p>
    <w:p w14:paraId="3692514C" w14:textId="62B61594" w:rsidR="00BE2410" w:rsidRPr="002B5F97" w:rsidRDefault="00BE2410" w:rsidP="00BE24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410">
        <w:rPr>
          <w:rFonts w:ascii="Times New Roman" w:hAnsi="Times New Roman" w:cs="Times New Roman"/>
          <w:sz w:val="24"/>
          <w:szCs w:val="24"/>
          <w:lang w:val="sr-Cyrl-RS"/>
        </w:rPr>
        <w:t>Одлука ступа на снагу</w:t>
      </w:r>
      <w:r w:rsidR="00345D94">
        <w:rPr>
          <w:rFonts w:ascii="Times New Roman" w:hAnsi="Times New Roman" w:cs="Times New Roman"/>
          <w:sz w:val="24"/>
          <w:szCs w:val="24"/>
          <w:lang w:val="sr-Cyrl-RS"/>
        </w:rPr>
        <w:t xml:space="preserve"> осмог дана од дана објављивања у </w:t>
      </w:r>
      <w:r w:rsidRPr="00BE2410">
        <w:rPr>
          <w:rFonts w:ascii="Times New Roman" w:hAnsi="Times New Roman" w:cs="Times New Roman"/>
          <w:sz w:val="24"/>
          <w:szCs w:val="24"/>
          <w:lang w:val="sr-Cyrl-RS"/>
        </w:rPr>
        <w:t>Службеном гласнику oпштине Љиг</w:t>
      </w:r>
      <w:r w:rsidR="002B5F97">
        <w:rPr>
          <w:rFonts w:ascii="Times New Roman" w:hAnsi="Times New Roman" w:cs="Times New Roman"/>
          <w:sz w:val="24"/>
          <w:szCs w:val="24"/>
        </w:rPr>
        <w:t>,</w:t>
      </w:r>
      <w:r w:rsidR="002B5F97" w:rsidRPr="002B5F97">
        <w:rPr>
          <w:rFonts w:ascii="Times New Roman" w:hAnsi="Times New Roman" w:cs="Times New Roman"/>
          <w:sz w:val="24"/>
          <w:szCs w:val="24"/>
        </w:rPr>
        <w:t xml:space="preserve"> </w:t>
      </w:r>
      <w:r w:rsidR="002B5F97" w:rsidRPr="0092487B">
        <w:rPr>
          <w:rFonts w:ascii="Times New Roman" w:hAnsi="Times New Roman" w:cs="Times New Roman"/>
          <w:sz w:val="24"/>
          <w:szCs w:val="24"/>
        </w:rPr>
        <w:t>а примењиваће се од 01. јануара 202</w:t>
      </w:r>
      <w:r w:rsidR="002B5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B5F97" w:rsidRPr="0092487B">
        <w:rPr>
          <w:rFonts w:ascii="Times New Roman" w:hAnsi="Times New Roman" w:cs="Times New Roman"/>
          <w:sz w:val="24"/>
          <w:szCs w:val="24"/>
        </w:rPr>
        <w:t>.</w:t>
      </w:r>
      <w:r w:rsidR="007D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09D9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  <w:r w:rsidR="002B5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5A043" w14:textId="77777777" w:rsidR="00AC0ACD" w:rsidRDefault="00AC0ACD" w:rsidP="009B1F92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21E109" w14:textId="77777777" w:rsidR="009B1F92" w:rsidRPr="009B1F92" w:rsidRDefault="00BE2410" w:rsidP="009B1F92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14</w:t>
      </w:r>
      <w:r w:rsidR="009B1F92" w:rsidRPr="009B1F9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6C3070A" w14:textId="77777777" w:rsidR="009B2CA0" w:rsidRDefault="009F5927" w:rsidP="009B1F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927">
        <w:rPr>
          <w:rFonts w:ascii="Times New Roman" w:hAnsi="Times New Roman" w:cs="Times New Roman"/>
          <w:sz w:val="24"/>
          <w:szCs w:val="24"/>
          <w:lang w:val="sr-Cyrl-RS"/>
        </w:rPr>
        <w:t>Саставни део ове одлуке представља Тарифа локалних комуналних такси утврђена за поједина права,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9BA">
        <w:rPr>
          <w:rFonts w:ascii="Times New Roman" w:hAnsi="Times New Roman" w:cs="Times New Roman"/>
          <w:sz w:val="24"/>
          <w:szCs w:val="24"/>
          <w:lang w:val="sr-Cyrl-RS"/>
        </w:rPr>
        <w:t>предмете и услуге.</w:t>
      </w:r>
    </w:p>
    <w:p w14:paraId="169E4F71" w14:textId="77777777" w:rsidR="00B52408" w:rsidRDefault="00B52408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D70878" w14:textId="77777777" w:rsidR="004368F7" w:rsidRPr="00CE1F7B" w:rsidRDefault="004368F7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CC84C" w14:textId="77777777" w:rsidR="00CE1F7B" w:rsidRPr="00CE1F7B" w:rsidRDefault="00CE1F7B" w:rsidP="00850E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ТАКСЕНА ТАРИФА</w:t>
      </w:r>
    </w:p>
    <w:p w14:paraId="054CEA3F" w14:textId="77777777" w:rsidR="00CE1F7B" w:rsidRPr="00CE1F7B" w:rsidRDefault="00CE1F7B" w:rsidP="00850E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ЛОКАЛНИХ КОМУНАЛНИХ ТАКСА</w:t>
      </w:r>
    </w:p>
    <w:p w14:paraId="4602142B" w14:textId="77777777" w:rsidR="00CE1F7B" w:rsidRPr="00CE1F7B" w:rsidRDefault="00CE1F7B" w:rsidP="001C7C1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CC9BE6" w14:textId="076B8138" w:rsidR="00CE1F7B" w:rsidRDefault="00CE1F7B" w:rsidP="00850E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Тарифни број 1.</w:t>
      </w:r>
    </w:p>
    <w:p w14:paraId="4248F32C" w14:textId="4EA3138D" w:rsidR="00A47BF0" w:rsidRDefault="00A47BF0" w:rsidP="00850E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07C36C" w14:textId="7DB373A2" w:rsidR="006439D1" w:rsidRPr="00F12870" w:rsidRDefault="006439D1" w:rsidP="00F12870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F128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Предузетници и правна лица која су према закону којим се уређује рачуноводство разврстана у мала правна лица (осим предузетника и правних лица која обављају делатност: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електропривреде; казина, коцкарница, кладионица</w:t>
      </w:r>
      <w:r w:rsidR="00B52408" w:rsidRPr="00F128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бинго сала и пружање коцкарских услуга и ноћних барова и дискотека), а имају годишњи проход до 50.000.000 динара, не плаћају локалну комуналну таксу за истицање фирме на пословном простору (у даљем тексту фирмарина).</w:t>
      </w:r>
    </w:p>
    <w:p w14:paraId="38CEE005" w14:textId="77777777" w:rsidR="00F12870" w:rsidRDefault="00F12870" w:rsidP="00F1287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p w14:paraId="54E1F3AA" w14:textId="24F6A49E" w:rsidR="00C85D4D" w:rsidRPr="00C85D4D" w:rsidRDefault="00A47BF0" w:rsidP="00C85D4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52408">
        <w:rPr>
          <w:rFonts w:ascii="Times New Roman" w:hAnsi="Times New Roman" w:cs="Times New Roman"/>
          <w:sz w:val="24"/>
          <w:szCs w:val="24"/>
          <w:lang w:val="sr-Cyrl-RS"/>
        </w:rPr>
        <w:t>Правна лица која су према закону којим се уређује рачуноводство разврстана у</w:t>
      </w:r>
      <w:r w:rsidR="00B52408" w:rsidRPr="00B52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28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средња правна лица, као и предузетници, мала правна лица  и микро правна лица</w:t>
      </w:r>
      <w:r w:rsidRPr="00B52408">
        <w:rPr>
          <w:rFonts w:ascii="Times New Roman" w:hAnsi="Times New Roman" w:cs="Times New Roman"/>
          <w:sz w:val="24"/>
          <w:szCs w:val="24"/>
          <w:lang w:val="sr-Cyrl-RS"/>
        </w:rPr>
        <w:t xml:space="preserve"> (осим предузетника и правних лица која обављају делатност: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електропривреде; казина, коцкарница, бинго сала и пружања коцкарских услуга и ноћних барова и дискотека) </w:t>
      </w:r>
      <w:r w:rsidRPr="00F128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која имају годишњи приход преко 50.000.000 динара, а највише до </w:t>
      </w:r>
      <w:r w:rsidRPr="00F1287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128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0.000.000 динара фирмарину плаћају на годишњем нивоу у фиксном износу од 50.000 динара</w:t>
      </w:r>
      <w:r w:rsidR="00C85D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сваку фирму истакнуту вам пословног објекта плаћа се такса у износу од 5</w:t>
      </w:r>
      <w:r w:rsidR="00EC2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000 динара.  </w:t>
      </w:r>
    </w:p>
    <w:p w14:paraId="4B061BA4" w14:textId="77777777" w:rsidR="00F12870" w:rsidRPr="00F12870" w:rsidRDefault="00F12870" w:rsidP="00F1287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4C77916" w14:textId="29194F8F" w:rsidR="00A47BF0" w:rsidRDefault="00A47BF0" w:rsidP="00F1287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Правна лица која су према закону којим се уређује рачуноводство разврстана у </w:t>
      </w:r>
      <w:r w:rsidRPr="00F128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средња правна лица, као и предузетници, мала правна лица  и микро правна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(осим предузетниика и правних лица која обављају делатност: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електропривреде; казина, коцкарница, бинго сала и пружања коцкарских услуга и ноћних барова и дискотека) </w:t>
      </w:r>
      <w:r w:rsidRPr="00733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која имају годишњи приход преко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33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0.000.000 динара, фирмарину плаћају на годишњем нивоу у фиксном износу од 80.000 динара.</w:t>
      </w:r>
      <w:r w:rsidR="00C85D4D" w:rsidRP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сваку фирму истакнуту вам пословног објекта плаћа се такса у износу од 5</w:t>
      </w:r>
      <w:r w:rsidR="00EC2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000 динара.</w:t>
      </w:r>
    </w:p>
    <w:p w14:paraId="4D70642F" w14:textId="77777777" w:rsidR="00F12870" w:rsidRPr="00F12870" w:rsidRDefault="00F12870" w:rsidP="00F1287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D2493" w14:textId="4B0DDEEA" w:rsidR="00A47BF0" w:rsidRDefault="00A47BF0" w:rsidP="00F1287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Правна лица која су према закону којим се уређује рачуноводство разврстана у </w:t>
      </w:r>
      <w:r w:rsidRPr="00F128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велика правна лица, средња правна лица, као и предузетници, мала правна лица  и микро правна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(осим предузетника и правних лица која обављају делатност: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електропривреде; казина, коцкарница, бинго сала и пружања коцкарских услуга и ноћних барова и дискотека) </w:t>
      </w:r>
      <w:r w:rsidRPr="00733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која имају годишњи приход преко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733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0.000.000 динара фирмарину плаћају на годишњем нивоу у фиксном износу од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13</w:t>
      </w:r>
      <w:r w:rsidRPr="00733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 динара.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сваку фирму истакнуту вам пословног објекта плаћа се такса у износу од 5</w:t>
      </w:r>
      <w:r w:rsidR="00EC2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000 динара.</w:t>
      </w:r>
    </w:p>
    <w:p w14:paraId="72F0DE3C" w14:textId="77777777" w:rsidR="00A47BF0" w:rsidRDefault="00A47BF0" w:rsidP="00A47BF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DC9C12" w14:textId="6659B826" w:rsidR="00A47BF0" w:rsidRPr="00EC2322" w:rsidRDefault="00A47BF0" w:rsidP="00EC232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Правна лица која су према закону којим се уређује рачуноводство разврстана у </w:t>
      </w:r>
      <w:r w:rsidRPr="00C948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велика, средња и мала правна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закона којим се уређује рачуноводство и предузетници, а обављају делатност банкарства, осигурања имовине и лица, производње и трговине нафтом и дериватима нафте, производње и трговине на велико дуванским производима, производње цемента, поштанских, мобилних и телефонских услуга, електропривреде, казина, коцкарниуца, кладионица, бинго сала и пружање коцкарских услуга и ноћних барова и дискотека, фирмарину плаћају на годишњем нивоу </w:t>
      </w:r>
      <w:r w:rsidRPr="002F50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фиксном износу </w:t>
      </w:r>
      <w:r w:rsidR="00C948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75</w:t>
      </w:r>
      <w:r w:rsidRPr="002F50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.000 динара.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сваку фирму истакнуту вам пословног објекта плаћа се такса у износу од 5</w:t>
      </w:r>
      <w:r w:rsidR="00EC2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D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000 динара.</w:t>
      </w:r>
    </w:p>
    <w:p w14:paraId="471E972F" w14:textId="77777777" w:rsidR="00A47BF0" w:rsidRDefault="00A47BF0" w:rsidP="00B139F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8AFF27" w14:textId="77777777" w:rsidR="00A47BF0" w:rsidRDefault="00A47BF0" w:rsidP="00B139F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176C9E" w14:textId="7B9AB126" w:rsidR="0089356D" w:rsidRPr="004368F7" w:rsidRDefault="0089356D" w:rsidP="00B139F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</w:p>
    <w:p w14:paraId="62AE93E2" w14:textId="01495B07" w:rsidR="0089356D" w:rsidRPr="0089356D" w:rsidRDefault="0089356D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Локалну комуналну таксу по овом тарифном броју решењем утврђу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Одељење за финансије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. Обвезник таксе 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жан је да најкасније до </w:t>
      </w:r>
      <w:r w:rsidR="00C9485D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9485D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 текуће године, односно у року од 15 дана од 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почетка обављања делатности поднесе пријаву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Одељењу за финансије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 и достави податке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од значаја за одређивање висине таксе, ради доношења решења.</w:t>
      </w:r>
    </w:p>
    <w:p w14:paraId="5E6C1E90" w14:textId="07CF1315" w:rsidR="0089356D" w:rsidRPr="0089356D" w:rsidRDefault="0089356D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Обвезник је дужан да одељењу из става 1.</w:t>
      </w:r>
      <w:r w:rsidR="00A5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ове напомене, подн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есе пријаву о свакој промени од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значаја за утврђивање таксе, у року од 15 дана од дана настанка промене.</w:t>
      </w:r>
    </w:p>
    <w:p w14:paraId="74DD75DE" w14:textId="26496D8E" w:rsidR="0089356D" w:rsidRPr="0089356D" w:rsidRDefault="0089356D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Протеком рока из става </w:t>
      </w:r>
      <w:r w:rsidR="00811046">
        <w:rPr>
          <w:rFonts w:ascii="Times New Roman" w:hAnsi="Times New Roman" w:cs="Times New Roman"/>
          <w:sz w:val="24"/>
          <w:szCs w:val="24"/>
        </w:rPr>
        <w:t>1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811046">
        <w:rPr>
          <w:rFonts w:ascii="Times New Roman" w:hAnsi="Times New Roman" w:cs="Times New Roman"/>
          <w:sz w:val="24"/>
          <w:szCs w:val="24"/>
        </w:rPr>
        <w:t>2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. ове напомене </w:t>
      </w:r>
      <w:r w:rsidR="008057AB">
        <w:rPr>
          <w:rFonts w:ascii="Times New Roman" w:hAnsi="Times New Roman" w:cs="Times New Roman"/>
          <w:sz w:val="24"/>
          <w:szCs w:val="24"/>
          <w:lang w:val="sr-Cyrl-RS"/>
        </w:rPr>
        <w:t>Одељење за финансије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доноси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решење о обавези плаћања таксе по службеној дужности.</w:t>
      </w:r>
    </w:p>
    <w:p w14:paraId="6EFFB3A4" w14:textId="441F969C" w:rsidR="0089356D" w:rsidRPr="0089356D" w:rsidRDefault="0089356D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4.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Под истакнутом фирмом, сматра се сваки истакнути назив или име, које упућује на то да правно 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физичко лице обавља делатност, без обзира где је фирма истакнута на пословном простору. </w:t>
      </w:r>
      <w:r w:rsidR="00C85D4D">
        <w:rPr>
          <w:rFonts w:ascii="Times New Roman" w:hAnsi="Times New Roman" w:cs="Times New Roman"/>
          <w:sz w:val="24"/>
          <w:szCs w:val="24"/>
          <w:lang w:val="sr-Cyrl-RS"/>
        </w:rPr>
        <w:t>Ако се на једном пословном простору налази више истакнутих фирми истог обвезника, такса се плаћа само за једну фирму</w:t>
      </w:r>
      <w:r w:rsidR="00C948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85D4D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истакнуту фирму ван пословног објекта, плаћа се такса за сваку истакнуту фирму.</w:t>
      </w:r>
      <w:r w:rsidR="00C94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29B8D4B" w14:textId="0051B515" w:rsidR="0089356D" w:rsidRPr="00EC2322" w:rsidRDefault="0089356D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577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Локална комунална такса за истицање фирме на пословном простор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утврђује се у годишњем нивоу,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 xml:space="preserve">а плаћа се </w:t>
      </w:r>
      <w:r w:rsidR="00D62844">
        <w:rPr>
          <w:rFonts w:ascii="Times New Roman" w:hAnsi="Times New Roman" w:cs="Times New Roman"/>
          <w:sz w:val="24"/>
          <w:szCs w:val="24"/>
          <w:lang w:val="sr-Cyrl-RS"/>
        </w:rPr>
        <w:t>квартално.</w:t>
      </w:r>
    </w:p>
    <w:p w14:paraId="048853B0" w14:textId="7101483C" w:rsidR="00CE1F7B" w:rsidRDefault="0089356D" w:rsidP="00B139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Pr="0089356D">
        <w:rPr>
          <w:rFonts w:ascii="Times New Roman" w:hAnsi="Times New Roman" w:cs="Times New Roman"/>
          <w:sz w:val="24"/>
          <w:szCs w:val="24"/>
          <w:lang w:val="sr-Cyrl-RS"/>
        </w:rPr>
        <w:t>До доношења решења о утврђивању таксе за текућу годину, такса се плаћа</w:t>
      </w:r>
      <w:r w:rsidR="00D62844">
        <w:rPr>
          <w:rFonts w:ascii="Times New Roman" w:hAnsi="Times New Roman" w:cs="Times New Roman"/>
          <w:sz w:val="24"/>
          <w:szCs w:val="24"/>
          <w:lang w:val="sr-Cyrl-RS"/>
        </w:rPr>
        <w:t xml:space="preserve"> у  висини која одговара утврђеном износу локалне комуналне таксе из претходног периода.</w:t>
      </w:r>
    </w:p>
    <w:p w14:paraId="7CFF2774" w14:textId="77777777" w:rsidR="007B144A" w:rsidRPr="00CE1F7B" w:rsidRDefault="007B144A" w:rsidP="007B144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9986E6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D905D7" w14:textId="77777777" w:rsidR="00CE1F7B" w:rsidRDefault="007B144A" w:rsidP="00B139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Тарифни број 2</w:t>
      </w:r>
      <w:r w:rsidR="00CE1F7B" w:rsidRPr="007B144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7C1CC3F" w14:textId="77777777" w:rsidR="000351D6" w:rsidRPr="007B144A" w:rsidRDefault="000351D6" w:rsidP="00B139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C536C6" w14:textId="77777777" w:rsidR="00CE1F7B" w:rsidRPr="00CE1F7B" w:rsidRDefault="00CE1F7B" w:rsidP="00B139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За држање моторних друмских и прикључних возила осим пољопривредних возила и машина плаћа се накнада за време од 12 месеци, и то:</w:t>
      </w:r>
    </w:p>
    <w:p w14:paraId="18D31203" w14:textId="77777777" w:rsidR="00CE1F7B" w:rsidRPr="00CE1F7B" w:rsidRDefault="00CE1F7B" w:rsidP="00B139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6CCE3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Редни</w:t>
      </w:r>
    </w:p>
    <w:p w14:paraId="26CF0B77" w14:textId="4A6E4AD3" w:rsidR="00CE1F7B" w:rsidRPr="00CE1F7B" w:rsidRDefault="00CE1F7B" w:rsidP="007B14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44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Врста возила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44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501E8F">
        <w:rPr>
          <w:rFonts w:ascii="Times New Roman" w:hAnsi="Times New Roman" w:cs="Times New Roman"/>
          <w:sz w:val="24"/>
          <w:szCs w:val="24"/>
        </w:rPr>
        <w:t xml:space="preserve"> </w:t>
      </w:r>
      <w:r w:rsidR="007B1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06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B144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Висина</w:t>
      </w:r>
    </w:p>
    <w:p w14:paraId="6FF79664" w14:textId="0E718854" w:rsidR="007B144A" w:rsidRDefault="0057706E" w:rsidP="007B144A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CE1F7B" w:rsidRPr="00CE1F7B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</w:p>
    <w:p w14:paraId="08516315" w14:textId="77777777" w:rsidR="007B144A" w:rsidRDefault="007B144A" w:rsidP="007B14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</w:t>
      </w:r>
    </w:p>
    <w:p w14:paraId="3552CDB5" w14:textId="77777777" w:rsid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44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44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14:paraId="44AA719E" w14:textId="77777777" w:rsidR="007B144A" w:rsidRPr="00CE1F7B" w:rsidRDefault="007B144A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</w:t>
      </w:r>
    </w:p>
    <w:p w14:paraId="59D5A492" w14:textId="77777777" w:rsidR="00CE1F7B" w:rsidRPr="00CE1F7B" w:rsidRDefault="00DE1D30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E1D30">
        <w:rPr>
          <w:rFonts w:ascii="Times New Roman" w:hAnsi="Times New Roman" w:cs="Times New Roman"/>
          <w:b/>
          <w:sz w:val="24"/>
          <w:szCs w:val="24"/>
          <w:lang w:val="sr-Latn-RS"/>
        </w:rPr>
        <w:t>T</w:t>
      </w:r>
      <w:r w:rsidR="00CE1F7B" w:rsidRPr="00DE1D30">
        <w:rPr>
          <w:rFonts w:ascii="Times New Roman" w:hAnsi="Times New Roman" w:cs="Times New Roman"/>
          <w:b/>
          <w:sz w:val="24"/>
          <w:szCs w:val="24"/>
          <w:lang w:val="sr-Cyrl-RS"/>
        </w:rPr>
        <w:t>еретна возила</w:t>
      </w:r>
      <w:r w:rsidR="00CE1F7B"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4175DA3" w14:textId="56300EA3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1.1.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За камионе до 2 тоне носивости  ...................................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1D3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12065">
        <w:rPr>
          <w:rFonts w:ascii="Times New Roman" w:hAnsi="Times New Roman" w:cs="Times New Roman"/>
          <w:sz w:val="24"/>
          <w:szCs w:val="24"/>
        </w:rPr>
        <w:t xml:space="preserve"> </w:t>
      </w:r>
      <w:r w:rsidR="00DE1D3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C4850">
        <w:rPr>
          <w:rFonts w:ascii="Times New Roman" w:hAnsi="Times New Roman" w:cs="Times New Roman"/>
          <w:sz w:val="24"/>
          <w:szCs w:val="24"/>
        </w:rPr>
        <w:t>2.</w:t>
      </w:r>
      <w:r w:rsidR="00CB1526">
        <w:rPr>
          <w:rFonts w:ascii="Times New Roman" w:hAnsi="Times New Roman" w:cs="Times New Roman"/>
          <w:sz w:val="24"/>
          <w:szCs w:val="24"/>
        </w:rPr>
        <w:t>4</w:t>
      </w:r>
      <w:r w:rsidR="00D12065">
        <w:rPr>
          <w:rFonts w:ascii="Times New Roman" w:hAnsi="Times New Roman" w:cs="Times New Roman"/>
          <w:sz w:val="24"/>
          <w:szCs w:val="24"/>
        </w:rPr>
        <w:t>60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3F7025EF" w14:textId="22AE5BB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1.2.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За камионе 2-5 тона носивости  ........</w:t>
      </w:r>
      <w:r w:rsidR="00DE1D30">
        <w:rPr>
          <w:rFonts w:ascii="Times New Roman" w:hAnsi="Times New Roman" w:cs="Times New Roman"/>
          <w:sz w:val="24"/>
          <w:szCs w:val="24"/>
          <w:lang w:val="sr-Cyrl-RS"/>
        </w:rPr>
        <w:t>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D12065">
        <w:rPr>
          <w:rFonts w:ascii="Times New Roman" w:hAnsi="Times New Roman" w:cs="Times New Roman"/>
          <w:sz w:val="24"/>
          <w:szCs w:val="24"/>
        </w:rPr>
        <w:t xml:space="preserve"> 3.</w:t>
      </w:r>
      <w:r w:rsidR="00CB1526">
        <w:rPr>
          <w:rFonts w:ascii="Times New Roman" w:hAnsi="Times New Roman" w:cs="Times New Roman"/>
          <w:sz w:val="24"/>
          <w:szCs w:val="24"/>
        </w:rPr>
        <w:t>28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4C6C1512" w14:textId="0DE87588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1.3.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За камионе 5-12 тона носивости  ..........</w:t>
      </w:r>
      <w:r w:rsidR="00DE1D30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D12065">
        <w:rPr>
          <w:rFonts w:ascii="Times New Roman" w:hAnsi="Times New Roman" w:cs="Times New Roman"/>
          <w:sz w:val="24"/>
          <w:szCs w:val="24"/>
        </w:rPr>
        <w:t xml:space="preserve"> 5.</w:t>
      </w:r>
      <w:r w:rsidR="00CB1526">
        <w:rPr>
          <w:rFonts w:ascii="Times New Roman" w:hAnsi="Times New Roman" w:cs="Times New Roman"/>
          <w:sz w:val="24"/>
          <w:szCs w:val="24"/>
        </w:rPr>
        <w:t>72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697125CF" w14:textId="16E2A693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1.4.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За камионе преко 12 тона носивости  ..</w:t>
      </w:r>
      <w:r w:rsidR="00DE1D30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B1526">
        <w:rPr>
          <w:rFonts w:ascii="Times New Roman" w:hAnsi="Times New Roman" w:cs="Times New Roman"/>
          <w:sz w:val="24"/>
          <w:szCs w:val="24"/>
        </w:rPr>
        <w:t>8</w:t>
      </w:r>
      <w:r w:rsidR="00EC4850">
        <w:rPr>
          <w:rFonts w:ascii="Times New Roman" w:hAnsi="Times New Roman" w:cs="Times New Roman"/>
          <w:sz w:val="24"/>
          <w:szCs w:val="24"/>
        </w:rPr>
        <w:t>.</w:t>
      </w:r>
      <w:r w:rsidR="00CB1526">
        <w:rPr>
          <w:rFonts w:ascii="Times New Roman" w:hAnsi="Times New Roman" w:cs="Times New Roman"/>
          <w:sz w:val="24"/>
          <w:szCs w:val="24"/>
        </w:rPr>
        <w:t>17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34C460F9" w14:textId="2E3C04B2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E1D30">
        <w:rPr>
          <w:rFonts w:ascii="Times New Roman" w:hAnsi="Times New Roman" w:cs="Times New Roman"/>
          <w:b/>
          <w:sz w:val="24"/>
          <w:szCs w:val="24"/>
          <w:lang w:val="sr-Cyrl-RS"/>
        </w:rPr>
        <w:t>За теретне и радне приколице (за путничке аутомобиле)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D12065">
        <w:rPr>
          <w:rFonts w:ascii="Times New Roman" w:hAnsi="Times New Roman" w:cs="Times New Roman"/>
          <w:sz w:val="24"/>
          <w:szCs w:val="24"/>
        </w:rPr>
        <w:t>.</w:t>
      </w:r>
      <w:r w:rsidR="00CB1526">
        <w:rPr>
          <w:rFonts w:ascii="Times New Roman" w:hAnsi="Times New Roman" w:cs="Times New Roman"/>
          <w:sz w:val="24"/>
          <w:szCs w:val="24"/>
        </w:rPr>
        <w:t>81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6CC90413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E1D30">
        <w:rPr>
          <w:rFonts w:ascii="Times New Roman" w:hAnsi="Times New Roman" w:cs="Times New Roman"/>
          <w:b/>
          <w:sz w:val="24"/>
          <w:szCs w:val="24"/>
          <w:lang w:val="sr-Cyrl-RS"/>
        </w:rPr>
        <w:t>За путничка возила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6AE4203" w14:textId="79A4028D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3.1.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До 1.150 цм3    .....................................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CB1526">
        <w:rPr>
          <w:rFonts w:ascii="Times New Roman" w:hAnsi="Times New Roman" w:cs="Times New Roman"/>
          <w:sz w:val="24"/>
          <w:szCs w:val="24"/>
        </w:rPr>
        <w:t>81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162769B3" w14:textId="412598E3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3.2.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 1.150 цм3-1.300цм3  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1.</w:t>
      </w:r>
      <w:r w:rsidR="00CB1526">
        <w:rPr>
          <w:rFonts w:ascii="Times New Roman" w:hAnsi="Times New Roman" w:cs="Times New Roman"/>
          <w:sz w:val="24"/>
          <w:szCs w:val="24"/>
        </w:rPr>
        <w:t>62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010EAE34" w14:textId="3F9BC256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3.3.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 1.300 цм3-1.600цм3  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EC4850">
        <w:rPr>
          <w:rFonts w:ascii="Times New Roman" w:hAnsi="Times New Roman" w:cs="Times New Roman"/>
          <w:sz w:val="24"/>
          <w:szCs w:val="24"/>
        </w:rPr>
        <w:t>2.</w:t>
      </w:r>
      <w:r w:rsidR="00CB1526">
        <w:rPr>
          <w:rFonts w:ascii="Times New Roman" w:hAnsi="Times New Roman" w:cs="Times New Roman"/>
          <w:sz w:val="24"/>
          <w:szCs w:val="24"/>
        </w:rPr>
        <w:t>4</w:t>
      </w:r>
      <w:r w:rsidR="00D12065">
        <w:rPr>
          <w:rFonts w:ascii="Times New Roman" w:hAnsi="Times New Roman" w:cs="Times New Roman"/>
          <w:sz w:val="24"/>
          <w:szCs w:val="24"/>
        </w:rPr>
        <w:t>50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2B3DC0E2" w14:textId="31E7C1BD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3.4.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 1.600 цм3-2.000цм3  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  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D12065">
        <w:rPr>
          <w:rFonts w:ascii="Times New Roman" w:hAnsi="Times New Roman" w:cs="Times New Roman"/>
          <w:sz w:val="24"/>
          <w:szCs w:val="24"/>
        </w:rPr>
        <w:t>3.</w:t>
      </w:r>
      <w:r w:rsidR="00CB1526">
        <w:rPr>
          <w:rFonts w:ascii="Times New Roman" w:hAnsi="Times New Roman" w:cs="Times New Roman"/>
          <w:sz w:val="24"/>
          <w:szCs w:val="24"/>
        </w:rPr>
        <w:t>28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7B1D5639" w14:textId="60735514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3.5.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 2.000 цм3-3.000цм3  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EC4850">
        <w:rPr>
          <w:rFonts w:ascii="Times New Roman" w:hAnsi="Times New Roman" w:cs="Times New Roman"/>
          <w:sz w:val="24"/>
          <w:szCs w:val="24"/>
        </w:rPr>
        <w:t>4.</w:t>
      </w:r>
      <w:r w:rsidR="00CB1526">
        <w:rPr>
          <w:rFonts w:ascii="Times New Roman" w:hAnsi="Times New Roman" w:cs="Times New Roman"/>
          <w:sz w:val="24"/>
          <w:szCs w:val="24"/>
        </w:rPr>
        <w:t>94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2F81AFEC" w14:textId="6C84DC29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3.6.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 3.000 цм3 ....................................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CB1526">
        <w:rPr>
          <w:rFonts w:ascii="Times New Roman" w:hAnsi="Times New Roman" w:cs="Times New Roman"/>
          <w:sz w:val="24"/>
          <w:szCs w:val="24"/>
        </w:rPr>
        <w:t>8.170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1D46BF7D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1D30">
        <w:rPr>
          <w:rFonts w:ascii="Times New Roman" w:hAnsi="Times New Roman" w:cs="Times New Roman"/>
          <w:b/>
          <w:sz w:val="24"/>
          <w:szCs w:val="24"/>
          <w:lang w:val="sr-Cyrl-RS"/>
        </w:rPr>
        <w:t>За мотоцикле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E2CCE37" w14:textId="34C47A7C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4.1.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До 125 цм3    ........................................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12065">
        <w:rPr>
          <w:rFonts w:ascii="Times New Roman" w:hAnsi="Times New Roman" w:cs="Times New Roman"/>
          <w:sz w:val="24"/>
          <w:szCs w:val="24"/>
        </w:rPr>
        <w:t>6</w:t>
      </w:r>
      <w:r w:rsidR="00CB1526">
        <w:rPr>
          <w:rFonts w:ascii="Times New Roman" w:hAnsi="Times New Roman" w:cs="Times New Roman"/>
          <w:sz w:val="24"/>
          <w:szCs w:val="24"/>
        </w:rPr>
        <w:t>6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57EFE979" w14:textId="22CAB00F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4.2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Преко125 цм3-250м3   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D12065">
        <w:rPr>
          <w:rFonts w:ascii="Times New Roman" w:hAnsi="Times New Roman" w:cs="Times New Roman"/>
          <w:sz w:val="24"/>
          <w:szCs w:val="24"/>
        </w:rPr>
        <w:t>9</w:t>
      </w:r>
      <w:r w:rsidR="00CB1526">
        <w:rPr>
          <w:rFonts w:ascii="Times New Roman" w:hAnsi="Times New Roman" w:cs="Times New Roman"/>
          <w:sz w:val="24"/>
          <w:szCs w:val="24"/>
        </w:rPr>
        <w:t>7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29DCAA77" w14:textId="35C61142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4.3.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 250 цм3-500м3  .............................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          1.</w:t>
      </w:r>
      <w:r w:rsidR="00CB1526">
        <w:rPr>
          <w:rFonts w:ascii="Times New Roman" w:hAnsi="Times New Roman" w:cs="Times New Roman"/>
          <w:sz w:val="24"/>
          <w:szCs w:val="24"/>
        </w:rPr>
        <w:t>62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1184531A" w14:textId="71234CE9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4.4.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500 цм3-1.200м3  ..........................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1.</w:t>
      </w:r>
      <w:r w:rsidR="00D12065">
        <w:rPr>
          <w:rFonts w:ascii="Times New Roman" w:hAnsi="Times New Roman" w:cs="Times New Roman"/>
          <w:sz w:val="24"/>
          <w:szCs w:val="24"/>
        </w:rPr>
        <w:t>9</w:t>
      </w:r>
      <w:r w:rsidR="00CB1526">
        <w:rPr>
          <w:rFonts w:ascii="Times New Roman" w:hAnsi="Times New Roman" w:cs="Times New Roman"/>
          <w:sz w:val="24"/>
          <w:szCs w:val="24"/>
        </w:rPr>
        <w:t>9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1C74C4F2" w14:textId="2E18DC1E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4.5.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Преко  1.200м3  .................................................................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EC4850">
        <w:rPr>
          <w:rFonts w:ascii="Times New Roman" w:hAnsi="Times New Roman" w:cs="Times New Roman"/>
          <w:sz w:val="24"/>
          <w:szCs w:val="24"/>
        </w:rPr>
        <w:t>2.</w:t>
      </w:r>
      <w:r w:rsidR="00CB1526">
        <w:rPr>
          <w:rFonts w:ascii="Times New Roman" w:hAnsi="Times New Roman" w:cs="Times New Roman"/>
          <w:sz w:val="24"/>
          <w:szCs w:val="24"/>
        </w:rPr>
        <w:t>4</w:t>
      </w:r>
      <w:r w:rsidR="00D12065">
        <w:rPr>
          <w:rFonts w:ascii="Times New Roman" w:hAnsi="Times New Roman" w:cs="Times New Roman"/>
          <w:sz w:val="24"/>
          <w:szCs w:val="24"/>
        </w:rPr>
        <w:t>50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46B429BE" w14:textId="41EB5DFF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E1D30">
        <w:rPr>
          <w:rFonts w:ascii="Times New Roman" w:hAnsi="Times New Roman" w:cs="Times New Roman"/>
          <w:b/>
          <w:sz w:val="24"/>
          <w:szCs w:val="24"/>
          <w:lang w:val="sr-Cyrl-RS"/>
        </w:rPr>
        <w:t>За аутобусе и комби-бусеве, по регистрованом седишту</w:t>
      </w:r>
      <w:r w:rsidR="00D12065">
        <w:rPr>
          <w:rFonts w:ascii="Times New Roman" w:hAnsi="Times New Roman" w:cs="Times New Roman"/>
          <w:sz w:val="24"/>
          <w:szCs w:val="24"/>
        </w:rPr>
        <w:t xml:space="preserve">        7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0,00</w:t>
      </w:r>
    </w:p>
    <w:p w14:paraId="08B22FD9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E1D30">
        <w:rPr>
          <w:rFonts w:ascii="Times New Roman" w:hAnsi="Times New Roman" w:cs="Times New Roman"/>
          <w:b/>
          <w:sz w:val="24"/>
          <w:szCs w:val="24"/>
          <w:lang w:val="sr-Cyrl-RS"/>
        </w:rPr>
        <w:t>За прикључна возила: теретне приколице, полуприколице и специјалне теретне приколице за превоз одређених врста терета</w:t>
      </w:r>
      <w:r w:rsidR="00DE1D30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E258CC" w14:textId="31DEAAB3" w:rsidR="00CE1F7B" w:rsidRPr="00E7637C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6.1.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До 1 тоне носивости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</w:t>
      </w:r>
      <w:r w:rsidR="007B144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12065">
        <w:rPr>
          <w:rFonts w:ascii="Times New Roman" w:hAnsi="Times New Roman" w:cs="Times New Roman"/>
          <w:sz w:val="24"/>
          <w:szCs w:val="24"/>
        </w:rPr>
        <w:t>6</w:t>
      </w:r>
      <w:r w:rsidR="00CB1526">
        <w:rPr>
          <w:rFonts w:ascii="Times New Roman" w:hAnsi="Times New Roman" w:cs="Times New Roman"/>
          <w:sz w:val="24"/>
          <w:szCs w:val="24"/>
        </w:rPr>
        <w:t>7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="00E7637C" w:rsidRPr="00E7637C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24755018" w14:textId="2BAE019A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6.2.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Од 1-5 тона носивости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       </w:t>
      </w:r>
      <w:r w:rsidR="00D12065">
        <w:rPr>
          <w:rFonts w:ascii="Times New Roman" w:hAnsi="Times New Roman" w:cs="Times New Roman"/>
          <w:sz w:val="24"/>
          <w:szCs w:val="24"/>
        </w:rPr>
        <w:t>1.</w:t>
      </w:r>
      <w:r w:rsidR="00CB1526">
        <w:rPr>
          <w:rFonts w:ascii="Times New Roman" w:hAnsi="Times New Roman" w:cs="Times New Roman"/>
          <w:sz w:val="24"/>
          <w:szCs w:val="24"/>
        </w:rPr>
        <w:t>14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438E7538" w14:textId="60CF38D4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6.3.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Од 5-10 тона носивости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....................    </w:t>
      </w:r>
      <w:r w:rsidR="00D12065">
        <w:rPr>
          <w:rFonts w:ascii="Times New Roman" w:hAnsi="Times New Roman" w:cs="Times New Roman"/>
          <w:sz w:val="24"/>
          <w:szCs w:val="24"/>
        </w:rPr>
        <w:t xml:space="preserve">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C4850">
        <w:rPr>
          <w:rFonts w:ascii="Times New Roman" w:hAnsi="Times New Roman" w:cs="Times New Roman"/>
          <w:sz w:val="24"/>
          <w:szCs w:val="24"/>
        </w:rPr>
        <w:t>1.</w:t>
      </w:r>
      <w:r w:rsidR="00CB1526">
        <w:rPr>
          <w:rFonts w:ascii="Times New Roman" w:hAnsi="Times New Roman" w:cs="Times New Roman"/>
          <w:sz w:val="24"/>
          <w:szCs w:val="24"/>
        </w:rPr>
        <w:t>55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4B33D0A4" w14:textId="1A299783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6.4.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  <w:t>Од 10-12 тона носивости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.......................................................  </w:t>
      </w:r>
      <w:r w:rsidR="00D12065">
        <w:rPr>
          <w:rFonts w:ascii="Times New Roman" w:hAnsi="Times New Roman" w:cs="Times New Roman"/>
          <w:sz w:val="24"/>
          <w:szCs w:val="24"/>
        </w:rPr>
        <w:t xml:space="preserve"> 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12065">
        <w:rPr>
          <w:rFonts w:ascii="Times New Roman" w:hAnsi="Times New Roman" w:cs="Times New Roman"/>
          <w:sz w:val="24"/>
          <w:szCs w:val="24"/>
        </w:rPr>
        <w:t>2.</w:t>
      </w:r>
      <w:r w:rsidR="00CB1526">
        <w:rPr>
          <w:rFonts w:ascii="Times New Roman" w:hAnsi="Times New Roman" w:cs="Times New Roman"/>
          <w:sz w:val="24"/>
          <w:szCs w:val="24"/>
        </w:rPr>
        <w:t>15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1DD8019E" w14:textId="51296AFD" w:rsidR="006114D6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.5.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ab/>
        <w:t>Преко 12 тона носивости..................................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.....................   </w:t>
      </w:r>
      <w:r w:rsidR="00D12065">
        <w:rPr>
          <w:rFonts w:ascii="Times New Roman" w:hAnsi="Times New Roman" w:cs="Times New Roman"/>
          <w:sz w:val="24"/>
          <w:szCs w:val="24"/>
        </w:rPr>
        <w:t xml:space="preserve"> 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12065">
        <w:rPr>
          <w:rFonts w:ascii="Times New Roman" w:hAnsi="Times New Roman" w:cs="Times New Roman"/>
          <w:sz w:val="24"/>
          <w:szCs w:val="24"/>
        </w:rPr>
        <w:t>3.</w:t>
      </w:r>
      <w:r w:rsidR="00CB1526">
        <w:rPr>
          <w:rFonts w:ascii="Times New Roman" w:hAnsi="Times New Roman" w:cs="Times New Roman"/>
          <w:sz w:val="24"/>
          <w:szCs w:val="24"/>
        </w:rPr>
        <w:t>28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02C2BC4E" w14:textId="4863B2A7" w:rsidR="00E40872" w:rsidRPr="00D12065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1F7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7.</w:t>
      </w:r>
      <w:r w:rsidRPr="00CE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0872" w:rsidRPr="00E7637C">
        <w:rPr>
          <w:rFonts w:ascii="Times New Roman" w:hAnsi="Times New Roman" w:cs="Times New Roman"/>
          <w:b/>
          <w:sz w:val="24"/>
          <w:szCs w:val="24"/>
          <w:lang w:val="sr-Cyrl-RS"/>
        </w:rPr>
        <w:t>за вучна возила (тегљаче):</w:t>
      </w:r>
      <w:r w:rsidR="00D12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BEAEC4" w14:textId="4A9CEA30" w:rsidR="00DE1D30" w:rsidRDefault="00DE1D30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Чија је снага мотора до 66 кв ( киловата)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</w:t>
      </w:r>
      <w:r w:rsidR="00435A91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      </w:t>
      </w:r>
      <w:r w:rsidR="00D12065">
        <w:rPr>
          <w:rFonts w:ascii="Times New Roman" w:hAnsi="Times New Roman" w:cs="Times New Roman"/>
          <w:sz w:val="24"/>
          <w:szCs w:val="24"/>
        </w:rPr>
        <w:t xml:space="preserve"> </w:t>
      </w:r>
      <w:r w:rsidR="00EC4850">
        <w:rPr>
          <w:rFonts w:ascii="Times New Roman" w:hAnsi="Times New Roman" w:cs="Times New Roman"/>
          <w:sz w:val="24"/>
          <w:szCs w:val="24"/>
        </w:rPr>
        <w:t>2.</w:t>
      </w:r>
      <w:r w:rsidR="00CB1526">
        <w:rPr>
          <w:rFonts w:ascii="Times New Roman" w:hAnsi="Times New Roman" w:cs="Times New Roman"/>
          <w:sz w:val="24"/>
          <w:szCs w:val="24"/>
        </w:rPr>
        <w:t>45</w:t>
      </w:r>
      <w:r w:rsidR="00EC4850">
        <w:rPr>
          <w:rFonts w:ascii="Times New Roman" w:hAnsi="Times New Roman" w:cs="Times New Roman"/>
          <w:sz w:val="24"/>
          <w:szCs w:val="24"/>
        </w:rPr>
        <w:t>0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4543520C" w14:textId="6E6A54CD" w:rsidR="00DE1D30" w:rsidRDefault="00DE1D30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7.2.</w:t>
      </w:r>
      <w:r w:rsidRPr="00DE1D30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Чија је снага мотора од 66-96 кв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="00435A91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C34EE7">
        <w:rPr>
          <w:rFonts w:ascii="Times New Roman" w:hAnsi="Times New Roman" w:cs="Times New Roman"/>
          <w:sz w:val="24"/>
          <w:szCs w:val="24"/>
        </w:rPr>
        <w:t xml:space="preserve"> </w:t>
      </w:r>
      <w:r w:rsidR="00D12065">
        <w:rPr>
          <w:rFonts w:ascii="Times New Roman" w:hAnsi="Times New Roman" w:cs="Times New Roman"/>
          <w:sz w:val="24"/>
          <w:szCs w:val="24"/>
        </w:rPr>
        <w:t>3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B1526">
        <w:rPr>
          <w:rFonts w:ascii="Times New Roman" w:hAnsi="Times New Roman" w:cs="Times New Roman"/>
          <w:sz w:val="24"/>
          <w:szCs w:val="24"/>
        </w:rPr>
        <w:t>28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42AF73B6" w14:textId="2CB056DF" w:rsidR="00DE1D30" w:rsidRDefault="00DE1D30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7.3. Чија је снага мотора од 96-132 кв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......................    </w:t>
      </w:r>
      <w:r w:rsidR="00435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065">
        <w:rPr>
          <w:rFonts w:ascii="Times New Roman" w:hAnsi="Times New Roman" w:cs="Times New Roman"/>
          <w:sz w:val="24"/>
          <w:szCs w:val="24"/>
        </w:rPr>
        <w:t xml:space="preserve">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1526">
        <w:rPr>
          <w:rFonts w:ascii="Times New Roman" w:hAnsi="Times New Roman" w:cs="Times New Roman"/>
          <w:sz w:val="24"/>
          <w:szCs w:val="24"/>
        </w:rPr>
        <w:t>4.130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5FF6E41B" w14:textId="04016303" w:rsidR="00DE1D30" w:rsidRDefault="00DE1D30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Чија је снага мотора од 132-177 кв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....................... </w:t>
      </w:r>
      <w:r w:rsidR="00D12065">
        <w:rPr>
          <w:rFonts w:ascii="Times New Roman" w:hAnsi="Times New Roman" w:cs="Times New Roman"/>
          <w:sz w:val="24"/>
          <w:szCs w:val="24"/>
        </w:rPr>
        <w:t xml:space="preserve">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35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850">
        <w:rPr>
          <w:rFonts w:ascii="Times New Roman" w:hAnsi="Times New Roman" w:cs="Times New Roman"/>
          <w:sz w:val="24"/>
          <w:szCs w:val="24"/>
        </w:rPr>
        <w:t>4.</w:t>
      </w:r>
      <w:r w:rsidR="00CB1526">
        <w:rPr>
          <w:rFonts w:ascii="Times New Roman" w:hAnsi="Times New Roman" w:cs="Times New Roman"/>
          <w:sz w:val="24"/>
          <w:szCs w:val="24"/>
        </w:rPr>
        <w:t>9</w:t>
      </w:r>
      <w:r w:rsidR="00D12065">
        <w:rPr>
          <w:rFonts w:ascii="Times New Roman" w:hAnsi="Times New Roman" w:cs="Times New Roman"/>
          <w:sz w:val="24"/>
          <w:szCs w:val="24"/>
        </w:rPr>
        <w:t>4</w:t>
      </w:r>
      <w:r w:rsidR="00EC4850">
        <w:rPr>
          <w:rFonts w:ascii="Times New Roman" w:hAnsi="Times New Roman" w:cs="Times New Roman"/>
          <w:sz w:val="24"/>
          <w:szCs w:val="24"/>
        </w:rPr>
        <w:t>0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1D99DB98" w14:textId="685F7081" w:rsidR="00DE1D30" w:rsidRDefault="00DE1D30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7.5. Чија је снага мотора преко 177 кв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..........................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 xml:space="preserve">........................  </w:t>
      </w:r>
      <w:r w:rsidR="00435A9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12065">
        <w:rPr>
          <w:rFonts w:ascii="Times New Roman" w:hAnsi="Times New Roman" w:cs="Times New Roman"/>
          <w:sz w:val="24"/>
          <w:szCs w:val="24"/>
        </w:rPr>
        <w:t xml:space="preserve"> 6.</w:t>
      </w:r>
      <w:r w:rsidR="00CB1526">
        <w:rPr>
          <w:rFonts w:ascii="Times New Roman" w:hAnsi="Times New Roman" w:cs="Times New Roman"/>
          <w:sz w:val="24"/>
          <w:szCs w:val="24"/>
        </w:rPr>
        <w:t>65</w:t>
      </w:r>
      <w:r w:rsidR="00D12065">
        <w:rPr>
          <w:rFonts w:ascii="Times New Roman" w:hAnsi="Times New Roman" w:cs="Times New Roman"/>
          <w:sz w:val="24"/>
          <w:szCs w:val="24"/>
        </w:rPr>
        <w:t>0</w:t>
      </w:r>
      <w:r w:rsidR="00E7637C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328A0C65" w14:textId="06922A97" w:rsidR="00DE1D30" w:rsidRPr="00DE1D30" w:rsidRDefault="00DE1D30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Pr="00DE1D30"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радна возила, специјална</w:t>
      </w:r>
      <w:r w:rsidRPr="00DE1D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адаптирана возила за превоз реквизита за путујуће забаве, радње и атестирана специјализована возила за пре</w:t>
      </w:r>
      <w:r w:rsidR="004368F7">
        <w:rPr>
          <w:rFonts w:ascii="Times New Roman" w:hAnsi="Times New Roman" w:cs="Times New Roman"/>
          <w:b/>
          <w:sz w:val="24"/>
          <w:szCs w:val="24"/>
          <w:lang w:val="sr-Cyrl-RS"/>
        </w:rPr>
        <w:t>воз пчела...</w:t>
      </w:r>
      <w:r w:rsidR="00E763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95B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4850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CB1526">
        <w:rPr>
          <w:rFonts w:ascii="Times New Roman" w:hAnsi="Times New Roman" w:cs="Times New Roman"/>
          <w:sz w:val="24"/>
          <w:szCs w:val="24"/>
        </w:rPr>
        <w:t>62</w:t>
      </w:r>
      <w:r w:rsidR="00EC4850">
        <w:rPr>
          <w:rFonts w:ascii="Times New Roman" w:hAnsi="Times New Roman" w:cs="Times New Roman"/>
          <w:sz w:val="24"/>
          <w:szCs w:val="24"/>
        </w:rPr>
        <w:t>0</w:t>
      </w:r>
      <w:r w:rsidR="00E7637C" w:rsidRPr="004368F7"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14:paraId="750A3EAD" w14:textId="77777777" w:rsidR="00CE1F7B" w:rsidRPr="00CE1F7B" w:rsidRDefault="00CE1F7B" w:rsidP="00CE1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1377B3" w14:textId="77777777" w:rsidR="00CE1F7B" w:rsidRPr="004368F7" w:rsidRDefault="00CE1F7B" w:rsidP="00FA05E6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</w:p>
    <w:p w14:paraId="76E3C373" w14:textId="77777777" w:rsidR="004368F7" w:rsidRPr="00CE1F7B" w:rsidRDefault="004368F7" w:rsidP="00B139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CE002D" w14:textId="77777777" w:rsidR="00CE1F7B" w:rsidRDefault="004368F7" w:rsidP="00B139F0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68F7">
        <w:rPr>
          <w:rFonts w:ascii="Times New Roman" w:hAnsi="Times New Roman" w:cs="Times New Roman"/>
          <w:sz w:val="24"/>
          <w:szCs w:val="24"/>
          <w:lang w:val="sr-Cyrl-RS"/>
        </w:rPr>
        <w:t>Такса из овог Тарифног броја плаћа се у годишњем износу приликом регистрације моторног возила код органа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длежног за регистрацију возила. </w:t>
      </w:r>
    </w:p>
    <w:p w14:paraId="6BE97950" w14:textId="77777777" w:rsidR="00B139F0" w:rsidRPr="004368F7" w:rsidRDefault="00B139F0" w:rsidP="00B139F0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 о износима такси из тарифног броја 2, као и уплатни рачун доставља Општинска управа општине Љиг надлежном органу.</w:t>
      </w:r>
    </w:p>
    <w:p w14:paraId="76DFF063" w14:textId="77777777" w:rsidR="00110B7A" w:rsidRDefault="00110B7A" w:rsidP="00B139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160FC3" w14:textId="77777777" w:rsidR="00B139F0" w:rsidRDefault="00B139F0" w:rsidP="00B139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39F0">
        <w:rPr>
          <w:rFonts w:ascii="Times New Roman" w:hAnsi="Times New Roman" w:cs="Times New Roman"/>
          <w:b/>
          <w:sz w:val="24"/>
          <w:szCs w:val="24"/>
          <w:lang w:val="sr-Cyrl-RS"/>
        </w:rPr>
        <w:t>Тарифни број 3.</w:t>
      </w:r>
    </w:p>
    <w:p w14:paraId="516760D0" w14:textId="77777777" w:rsidR="00B139F0" w:rsidRPr="00FA05E6" w:rsidRDefault="00B139F0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F9F584" w14:textId="77777777" w:rsidR="00FA05E6" w:rsidRDefault="00FA05E6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За држање средстава за игру (''Забавне игре'') – билијар, пикадо, флипери, електронске видео игре, СЕГА – апарати, забавне игре на рачунарима, симулатори, видео аутомати и друге сличне направе које се стављају у погон уз помоћ новца или жетона и друге сличне игре, таксе се плаћа месечно по средству за игру и то: </w:t>
      </w:r>
    </w:p>
    <w:p w14:paraId="614C7648" w14:textId="77777777" w:rsidR="008B36B7" w:rsidRDefault="008B36B7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62A43D" w14:textId="768206D3" w:rsidR="00FA05E6" w:rsidRDefault="00FA05E6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A05E6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A6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Билијар (по столу)  ............................................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500,00 динара </w:t>
      </w:r>
    </w:p>
    <w:p w14:paraId="5C438A35" w14:textId="6409D88C" w:rsidR="00FA05E6" w:rsidRDefault="00FA05E6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2. Томбола ............................................................. </w:t>
      </w:r>
      <w:r w:rsidR="00695B3F">
        <w:rPr>
          <w:rFonts w:ascii="Times New Roman" w:hAnsi="Times New Roman" w:cs="Times New Roman"/>
          <w:sz w:val="24"/>
          <w:szCs w:val="24"/>
        </w:rPr>
        <w:t xml:space="preserve">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>1.500,00 динара</w:t>
      </w:r>
    </w:p>
    <w:p w14:paraId="2619E920" w14:textId="68C550D1" w:rsidR="00FA05E6" w:rsidRDefault="00FA05E6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3. Флипери и видео игре (по апарату).................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95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500,00 динара </w:t>
      </w:r>
    </w:p>
    <w:p w14:paraId="4B112A3F" w14:textId="74BA5995" w:rsidR="00FA05E6" w:rsidRDefault="00FA05E6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4. Остало 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5B3F">
        <w:rPr>
          <w:rFonts w:ascii="Times New Roman" w:hAnsi="Times New Roman" w:cs="Times New Roman"/>
          <w:sz w:val="24"/>
          <w:szCs w:val="24"/>
        </w:rPr>
        <w:t xml:space="preserve">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1.000,00динара </w:t>
      </w:r>
    </w:p>
    <w:p w14:paraId="6C8E8083" w14:textId="77777777" w:rsidR="00FA05E6" w:rsidRDefault="00FA05E6" w:rsidP="00FA05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E50253" w14:textId="77777777" w:rsidR="00FA05E6" w:rsidRDefault="00FA05E6" w:rsidP="00FA05E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05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</w:t>
      </w:r>
    </w:p>
    <w:p w14:paraId="3996F0CF" w14:textId="77777777" w:rsidR="000351D6" w:rsidRPr="00FA05E6" w:rsidRDefault="000351D6" w:rsidP="00FA05E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EA11A0D" w14:textId="77777777" w:rsidR="000351D6" w:rsidRDefault="00FA05E6" w:rsidP="000351D6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05E6">
        <w:rPr>
          <w:rFonts w:ascii="Times New Roman" w:hAnsi="Times New Roman" w:cs="Times New Roman"/>
          <w:sz w:val="24"/>
          <w:szCs w:val="24"/>
          <w:lang w:val="sr-Cyrl-RS"/>
        </w:rPr>
        <w:t>Обвезник по овом тарифном броју је корисник простора, правно и физичко лице, односно предузетник који држи апарате за игре, односно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>приређује 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абавне игре у простору. </w:t>
      </w:r>
    </w:p>
    <w:p w14:paraId="3571514B" w14:textId="0E5957D6" w:rsidR="00B139F0" w:rsidRDefault="00FA05E6" w:rsidP="000351D6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Обвезници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 који држе средства за игру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одложн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 такси по овом тафирном броју дужни су</w:t>
      </w:r>
      <w:r w:rsidR="006F5F26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 пре почетка кориш</w:t>
      </w:r>
      <w:r w:rsidR="000351D6">
        <w:rPr>
          <w:rFonts w:ascii="Times New Roman" w:hAnsi="Times New Roman" w:cs="Times New Roman"/>
          <w:sz w:val="24"/>
          <w:szCs w:val="24"/>
          <w:lang w:val="sr-Cyrl-RS"/>
        </w:rPr>
        <w:t>ћења средстава за игру пријаве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 сва средства надлежном општинском органу управе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Одељењу за финансије</w:t>
      </w:r>
      <w:r w:rsidR="007A2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 xml:space="preserve">ради утврђивања комуналних такси, 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престанак коришћења средстава, </w:t>
      </w:r>
      <w:r w:rsidRPr="00FA05E6">
        <w:rPr>
          <w:rFonts w:ascii="Times New Roman" w:hAnsi="Times New Roman" w:cs="Times New Roman"/>
          <w:sz w:val="24"/>
          <w:szCs w:val="24"/>
          <w:lang w:val="sr-Cyrl-RS"/>
        </w:rPr>
        <w:t>а таксу су дужни пла</w:t>
      </w:r>
      <w:r w:rsidR="00A05893">
        <w:rPr>
          <w:rFonts w:ascii="Times New Roman" w:hAnsi="Times New Roman" w:cs="Times New Roman"/>
          <w:sz w:val="24"/>
          <w:szCs w:val="24"/>
          <w:lang w:val="sr-Cyrl-RS"/>
        </w:rPr>
        <w:t>ћати месечно сходно броју дана у месецу, до 15. у месецу за претходни месец.</w:t>
      </w:r>
    </w:p>
    <w:p w14:paraId="57488BBA" w14:textId="77777777" w:rsidR="00462A6A" w:rsidRDefault="00462A6A" w:rsidP="00462A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25447A" w14:textId="77777777" w:rsidR="00462A6A" w:rsidRDefault="00D15096" w:rsidP="00D150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5096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</w:t>
      </w:r>
    </w:p>
    <w:p w14:paraId="51C0B0FF" w14:textId="77777777" w:rsidR="00D15096" w:rsidRPr="00D15096" w:rsidRDefault="00D15096" w:rsidP="00D150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82CE4C" w14:textId="757DCAF6" w:rsidR="00D15096" w:rsidRPr="00D15096" w:rsidRDefault="00D15096" w:rsidP="003855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5096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локалним комуналним</w:t>
      </w:r>
      <w:r w:rsidR="006B78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таксама на територији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Љиг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 је у одредбама члана 11. став 1. и члана 18. Закона о</w:t>
      </w:r>
      <w:r w:rsidR="0038550A">
        <w:rPr>
          <w:rFonts w:ascii="Times New Roman" w:hAnsi="Times New Roman" w:cs="Times New Roman"/>
          <w:sz w:val="24"/>
          <w:szCs w:val="24"/>
        </w:rPr>
        <w:t xml:space="preserve"> 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>финансирању локалне самоуправе</w:t>
      </w:r>
      <w:r w:rsidR="00EE10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E10E5" w:rsidRPr="00EE10E5">
        <w:rPr>
          <w:rFonts w:ascii="Times New Roman" w:hAnsi="Times New Roman" w:cs="Times New Roman"/>
          <w:sz w:val="24"/>
          <w:szCs w:val="24"/>
          <w:lang w:val="sr-Cyrl-RS"/>
        </w:rPr>
        <w:t>''Сл. гласник.РС'' бр. 62/2006, 47/2011, 93/2012, 99/2013 – усклађени дин. изн., 125/2014 – усклађени дин изн. и 95/2015-усклађени дин изн. 83/2016, 91/2016-усклађени дин изн. и 104/2016 и усклађени дин изн. и 96/2017-усклађени дин изн. и 89/2018, 86/2019-усклађени дин изн.</w:t>
      </w:r>
      <w:r w:rsidR="005A6D69">
        <w:rPr>
          <w:rFonts w:ascii="Times New Roman" w:hAnsi="Times New Roman" w:cs="Times New Roman"/>
          <w:sz w:val="24"/>
          <w:szCs w:val="24"/>
        </w:rPr>
        <w:t xml:space="preserve">, </w:t>
      </w:r>
      <w:r w:rsidR="00EE10E5" w:rsidRPr="00EE10E5">
        <w:rPr>
          <w:rFonts w:ascii="Times New Roman" w:hAnsi="Times New Roman" w:cs="Times New Roman"/>
          <w:sz w:val="24"/>
          <w:szCs w:val="24"/>
          <w:lang w:val="sr-Cyrl-RS"/>
        </w:rPr>
        <w:t>126/2020- усклађени дин изн.</w:t>
      </w:r>
      <w:r w:rsidR="005A6D69">
        <w:rPr>
          <w:rFonts w:ascii="Times New Roman" w:hAnsi="Times New Roman" w:cs="Times New Roman"/>
          <w:sz w:val="24"/>
          <w:szCs w:val="24"/>
        </w:rPr>
        <w:t>,</w:t>
      </w:r>
      <w:r w:rsidR="005A6D69" w:rsidRPr="005A6D69">
        <w:t xml:space="preserve"> </w:t>
      </w:r>
      <w:r w:rsidR="005A6D69" w:rsidRPr="005A6D69">
        <w:rPr>
          <w:rFonts w:ascii="Times New Roman" w:hAnsi="Times New Roman" w:cs="Times New Roman"/>
          <w:sz w:val="24"/>
          <w:szCs w:val="24"/>
          <w:lang w:val="sr-Cyrl-RS"/>
        </w:rPr>
        <w:t>99/2021 - усклађени дин. изн. и 111/2021</w:t>
      </w:r>
      <w:r w:rsidR="00232E60">
        <w:rPr>
          <w:rFonts w:ascii="Times New Roman" w:hAnsi="Times New Roman" w:cs="Times New Roman"/>
          <w:sz w:val="24"/>
          <w:szCs w:val="24"/>
        </w:rPr>
        <w:t>, 124/2022, 97/2023</w:t>
      </w:r>
      <w:r w:rsidR="00435A91">
        <w:rPr>
          <w:rFonts w:ascii="Times New Roman" w:hAnsi="Times New Roman" w:cs="Times New Roman"/>
          <w:sz w:val="24"/>
          <w:szCs w:val="24"/>
          <w:lang w:val="sr-Cyrl-RS"/>
        </w:rPr>
        <w:t xml:space="preserve"> и 85/2024 – усклађени дин.изн.</w:t>
      </w:r>
      <w:r w:rsidR="00EE10E5" w:rsidRPr="00EE10E5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310DD5" w14:textId="77777777" w:rsidR="00D15096" w:rsidRPr="00D15096" w:rsidRDefault="00D15096" w:rsidP="00EE10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50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Одредбама члана 7. Закона о финансирању локалне самоуп</w:t>
      </w:r>
      <w:r w:rsidR="00EE10E5">
        <w:rPr>
          <w:rFonts w:ascii="Times New Roman" w:hAnsi="Times New Roman" w:cs="Times New Roman"/>
          <w:sz w:val="24"/>
          <w:szCs w:val="24"/>
          <w:lang w:val="sr-Cyrl-RS"/>
        </w:rPr>
        <w:t xml:space="preserve">раве предвиђено је да скупштина 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својом одлуком утврђује стопе изворних прихода, као и начин</w:t>
      </w:r>
      <w:r w:rsidR="00EE10E5">
        <w:rPr>
          <w:rFonts w:ascii="Times New Roman" w:hAnsi="Times New Roman" w:cs="Times New Roman"/>
          <w:sz w:val="24"/>
          <w:szCs w:val="24"/>
          <w:lang w:val="sr-Cyrl-RS"/>
        </w:rPr>
        <w:t xml:space="preserve"> и мерила 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>за одређивање висине локалних такса и накнада, у поступку утврђивања буџета за наредну годину.</w:t>
      </w:r>
    </w:p>
    <w:p w14:paraId="4EEC5E26" w14:textId="77777777" w:rsidR="00D15096" w:rsidRPr="00D15096" w:rsidRDefault="00D15096" w:rsidP="00EE10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5096">
        <w:rPr>
          <w:rFonts w:ascii="Times New Roman" w:hAnsi="Times New Roman" w:cs="Times New Roman"/>
          <w:sz w:val="24"/>
          <w:szCs w:val="24"/>
          <w:lang w:val="sr-Cyrl-RS"/>
        </w:rPr>
        <w:t>Одредбама члана 11. став 1. наведеног закона предвиђено ј</w:t>
      </w:r>
      <w:r w:rsidR="00EE10E5">
        <w:rPr>
          <w:rFonts w:ascii="Times New Roman" w:hAnsi="Times New Roman" w:cs="Times New Roman"/>
          <w:sz w:val="24"/>
          <w:szCs w:val="24"/>
          <w:lang w:val="sr-Cyrl-RS"/>
        </w:rPr>
        <w:t xml:space="preserve">е да скупштина јединице локалне 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>самоуправе може уводити локалне комуналне таксе за коришћење права, предмета и услуга.</w:t>
      </w:r>
    </w:p>
    <w:p w14:paraId="5CE4B35E" w14:textId="77777777" w:rsidR="00462A6A" w:rsidRDefault="00D15096" w:rsidP="00EE10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5096">
        <w:rPr>
          <w:rFonts w:ascii="Times New Roman" w:hAnsi="Times New Roman" w:cs="Times New Roman"/>
          <w:sz w:val="24"/>
          <w:szCs w:val="24"/>
          <w:lang w:val="sr-Cyrl-RS"/>
        </w:rPr>
        <w:t>Одредбама члана 18. наведеног закона, прописано је да се актом скупштине јединице локалне</w:t>
      </w:r>
      <w:r w:rsidR="00EE1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>самоуправе којим се уводи локална комунална такса утврђују обвезн</w:t>
      </w:r>
      <w:r w:rsidR="00EE10E5">
        <w:rPr>
          <w:rFonts w:ascii="Times New Roman" w:hAnsi="Times New Roman" w:cs="Times New Roman"/>
          <w:sz w:val="24"/>
          <w:szCs w:val="24"/>
          <w:lang w:val="sr-Cyrl-RS"/>
        </w:rPr>
        <w:t xml:space="preserve">ици, висина, олакшице, рокови и </w:t>
      </w:r>
      <w:r w:rsidRPr="00D15096">
        <w:rPr>
          <w:rFonts w:ascii="Times New Roman" w:hAnsi="Times New Roman" w:cs="Times New Roman"/>
          <w:sz w:val="24"/>
          <w:szCs w:val="24"/>
          <w:lang w:val="sr-Cyrl-RS"/>
        </w:rPr>
        <w:t>начин плаћања локалне комуналне таксе.</w:t>
      </w:r>
    </w:p>
    <w:p w14:paraId="4CC1F5A3" w14:textId="115A8528" w:rsidR="00EE10E5" w:rsidRDefault="00EE10E5" w:rsidP="00EE10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10E5">
        <w:rPr>
          <w:rFonts w:ascii="Times New Roman" w:hAnsi="Times New Roman" w:cs="Times New Roman"/>
          <w:sz w:val="24"/>
          <w:szCs w:val="24"/>
          <w:lang w:val="sr-Cyrl-RS"/>
        </w:rPr>
        <w:t>Законом о финансирању локалне самоуправе пр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едвиђено је ограничење највиших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износ</w:t>
      </w:r>
      <w:r w:rsidR="007E5E7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 xml:space="preserve"> такси за истицање фирме на пословном простору за одређена правна лица разврстана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складу са Законом о рачуноводству, и то за мала и средња правна лица до две зараде и за велика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правна лица до три просечне зараде по запосленом, остварене на територији јединице локалне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самоуправе у периоду јануар – август године која претходи години за коју се утврђује такса. Поред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тога, предвиђено је ограничење износа такси до десет зарада, за правна лица када обављају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одређене делатности прописане Законом о финансирању локалне самоуправе, и то: банкарства,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осигурања имовине и лица, производње и трговине нафтом и дериватима нафте, производње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трговине на велико дуванским производима, производње цемента, поштанских, мобилних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 xml:space="preserve">телефонских услуга, електропривреде, казина, коцкарница, кладионица, бинго сала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пружања </w:t>
      </w:r>
      <w:r w:rsidRPr="00EE10E5">
        <w:rPr>
          <w:rFonts w:ascii="Times New Roman" w:hAnsi="Times New Roman" w:cs="Times New Roman"/>
          <w:sz w:val="24"/>
          <w:szCs w:val="24"/>
          <w:lang w:val="sr-Cyrl-RS"/>
        </w:rPr>
        <w:t>коцкарских услуга и ноћних барова и дискотека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F95BE9" w14:textId="77777777" w:rsidR="00EE10E5" w:rsidRDefault="00EE10E5" w:rsidP="00174A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Највиши износи таксе за држање моторних друмских и прикључних возила предвиђени су чланом 15в. Закона о финансирању локалне самоуправе, односно актом који Влада Републике Србије сваке године објављује, на предлог министарства надлежног за послове финансија, као износе који су усклађени са годишњим индексом потрошачких цена у претходном периоду.</w:t>
      </w:r>
    </w:p>
    <w:p w14:paraId="4447D07D" w14:textId="2B2EE2C0" w:rsidR="00EE10E5" w:rsidRDefault="00EE10E5" w:rsidP="00174A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7. ст. 1 Закона је утврђено да се Одлука којом се уређују локалне комуналне таксе може мењати само једном годишње и то у поступку утврђивања буџета</w:t>
      </w:r>
      <w:r w:rsidR="00FE37BF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за наредну годину. Изузетно, Одлука се може изменити и у случају доношења, односно измене закона или другог прописа којим се уређују изворни приходи јединице локалне самоуправе. </w:t>
      </w:r>
    </w:p>
    <w:p w14:paraId="096D342D" w14:textId="537013A7" w:rsidR="00925472" w:rsidRDefault="00FC7105" w:rsidP="00174A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све наведено, Општинско веће општине Љиг је утврдило предлог Одлуке о локалним комуналним таксама на територији општини Љиг и предлаже Скупштини општине Љиг да исти усвоји.</w:t>
      </w:r>
    </w:p>
    <w:p w14:paraId="0DAEC556" w14:textId="04D53BA7" w:rsidR="00FC7105" w:rsidRDefault="00FC7105" w:rsidP="00174A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5E2D1E" w14:textId="4EF59B42" w:rsidR="00FC7105" w:rsidRDefault="00FC7105" w:rsidP="00174A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521821" w14:textId="000B4B6F" w:rsidR="00FC7105" w:rsidRPr="00FA05E6" w:rsidRDefault="00FC7105" w:rsidP="00A61D9F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ЉИГ</w:t>
      </w:r>
    </w:p>
    <w:sectPr w:rsidR="00FC7105" w:rsidRPr="00FA05E6" w:rsidSect="00F12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1460F" w14:textId="77777777" w:rsidR="0079781A" w:rsidRDefault="0079781A" w:rsidP="008875AE">
      <w:pPr>
        <w:spacing w:after="0" w:line="240" w:lineRule="auto"/>
      </w:pPr>
      <w:r>
        <w:separator/>
      </w:r>
    </w:p>
  </w:endnote>
  <w:endnote w:type="continuationSeparator" w:id="0">
    <w:p w14:paraId="1BB6B015" w14:textId="77777777" w:rsidR="0079781A" w:rsidRDefault="0079781A" w:rsidP="0088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C724" w14:textId="77777777" w:rsidR="008875AE" w:rsidRDefault="00887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F252C" w14:textId="77777777" w:rsidR="008875AE" w:rsidRDefault="00887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D17C3" w14:textId="77777777" w:rsidR="008875AE" w:rsidRDefault="00887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C00FD" w14:textId="77777777" w:rsidR="0079781A" w:rsidRDefault="0079781A" w:rsidP="008875AE">
      <w:pPr>
        <w:spacing w:after="0" w:line="240" w:lineRule="auto"/>
      </w:pPr>
      <w:r>
        <w:separator/>
      </w:r>
    </w:p>
  </w:footnote>
  <w:footnote w:type="continuationSeparator" w:id="0">
    <w:p w14:paraId="4721CABA" w14:textId="77777777" w:rsidR="0079781A" w:rsidRDefault="0079781A" w:rsidP="0088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8D93" w14:textId="77777777" w:rsidR="008875AE" w:rsidRDefault="00887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7EAE" w14:textId="77777777" w:rsidR="008875AE" w:rsidRDefault="00887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8558" w14:textId="77777777" w:rsidR="008875AE" w:rsidRDefault="0088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1B17"/>
    <w:multiLevelType w:val="hybridMultilevel"/>
    <w:tmpl w:val="F60E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1ED6"/>
    <w:multiLevelType w:val="hybridMultilevel"/>
    <w:tmpl w:val="3BD49C32"/>
    <w:lvl w:ilvl="0" w:tplc="73A621DC">
      <w:numFmt w:val="bullet"/>
      <w:lvlText w:val="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DBF"/>
    <w:multiLevelType w:val="hybridMultilevel"/>
    <w:tmpl w:val="0770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534C"/>
    <w:multiLevelType w:val="hybridMultilevel"/>
    <w:tmpl w:val="163C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7F1"/>
    <w:multiLevelType w:val="hybridMultilevel"/>
    <w:tmpl w:val="B262FAA0"/>
    <w:lvl w:ilvl="0" w:tplc="D018D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7327"/>
    <w:multiLevelType w:val="hybridMultilevel"/>
    <w:tmpl w:val="AB24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6DB0"/>
    <w:multiLevelType w:val="hybridMultilevel"/>
    <w:tmpl w:val="DF0C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53F98"/>
    <w:multiLevelType w:val="hybridMultilevel"/>
    <w:tmpl w:val="6FF21AFE"/>
    <w:lvl w:ilvl="0" w:tplc="73A621DC">
      <w:numFmt w:val="bullet"/>
      <w:lvlText w:val="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06FE"/>
    <w:multiLevelType w:val="hybridMultilevel"/>
    <w:tmpl w:val="C00A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0D1D4B"/>
    <w:multiLevelType w:val="hybridMultilevel"/>
    <w:tmpl w:val="B5B0CDFE"/>
    <w:lvl w:ilvl="0" w:tplc="D018D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B65"/>
    <w:multiLevelType w:val="hybridMultilevel"/>
    <w:tmpl w:val="4F20045A"/>
    <w:lvl w:ilvl="0" w:tplc="5DA03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01961"/>
    <w:multiLevelType w:val="hybridMultilevel"/>
    <w:tmpl w:val="364A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7760"/>
    <w:multiLevelType w:val="hybridMultilevel"/>
    <w:tmpl w:val="56F6934A"/>
    <w:lvl w:ilvl="0" w:tplc="635C45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B618E0"/>
    <w:multiLevelType w:val="hybridMultilevel"/>
    <w:tmpl w:val="882CA974"/>
    <w:lvl w:ilvl="0" w:tplc="6B984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32584"/>
    <w:multiLevelType w:val="hybridMultilevel"/>
    <w:tmpl w:val="DCF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F1BA0"/>
    <w:multiLevelType w:val="hybridMultilevel"/>
    <w:tmpl w:val="1EB2E5C2"/>
    <w:lvl w:ilvl="0" w:tplc="73A621DC">
      <w:numFmt w:val="bullet"/>
      <w:lvlText w:val="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E1BD6"/>
    <w:multiLevelType w:val="hybridMultilevel"/>
    <w:tmpl w:val="3F4A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6"/>
  </w:num>
  <w:num w:numId="5">
    <w:abstractNumId w:val="7"/>
  </w:num>
  <w:num w:numId="6">
    <w:abstractNumId w:val="15"/>
  </w:num>
  <w:num w:numId="7">
    <w:abstractNumId w:val="1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2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82"/>
    <w:rsid w:val="00002BB3"/>
    <w:rsid w:val="000306D7"/>
    <w:rsid w:val="000351D6"/>
    <w:rsid w:val="000506FC"/>
    <w:rsid w:val="00090EE9"/>
    <w:rsid w:val="000918AC"/>
    <w:rsid w:val="000B04E7"/>
    <w:rsid w:val="00110B7A"/>
    <w:rsid w:val="00152BEC"/>
    <w:rsid w:val="00174AF0"/>
    <w:rsid w:val="00186776"/>
    <w:rsid w:val="001903CF"/>
    <w:rsid w:val="001A09B4"/>
    <w:rsid w:val="001C7C15"/>
    <w:rsid w:val="00232E60"/>
    <w:rsid w:val="00283FCF"/>
    <w:rsid w:val="002B5F97"/>
    <w:rsid w:val="002D1BA1"/>
    <w:rsid w:val="002F0751"/>
    <w:rsid w:val="003135CF"/>
    <w:rsid w:val="00345D94"/>
    <w:rsid w:val="0038550A"/>
    <w:rsid w:val="00391327"/>
    <w:rsid w:val="003D4C62"/>
    <w:rsid w:val="00435A91"/>
    <w:rsid w:val="004368F7"/>
    <w:rsid w:val="00462A6A"/>
    <w:rsid w:val="00474B68"/>
    <w:rsid w:val="00491714"/>
    <w:rsid w:val="004971D6"/>
    <w:rsid w:val="004E09D9"/>
    <w:rsid w:val="00501E8F"/>
    <w:rsid w:val="00516F0E"/>
    <w:rsid w:val="0057706E"/>
    <w:rsid w:val="0058591F"/>
    <w:rsid w:val="005A6D69"/>
    <w:rsid w:val="005C1A51"/>
    <w:rsid w:val="005E03A3"/>
    <w:rsid w:val="006114D6"/>
    <w:rsid w:val="0061697C"/>
    <w:rsid w:val="006248A2"/>
    <w:rsid w:val="006439D1"/>
    <w:rsid w:val="00695B3F"/>
    <w:rsid w:val="006B7836"/>
    <w:rsid w:val="006E6BE6"/>
    <w:rsid w:val="006F5F26"/>
    <w:rsid w:val="0072480B"/>
    <w:rsid w:val="0077440C"/>
    <w:rsid w:val="0079781A"/>
    <w:rsid w:val="007A2E46"/>
    <w:rsid w:val="007A6414"/>
    <w:rsid w:val="007A6B6C"/>
    <w:rsid w:val="007B144A"/>
    <w:rsid w:val="007D45D4"/>
    <w:rsid w:val="007D730D"/>
    <w:rsid w:val="007E5E75"/>
    <w:rsid w:val="008057AB"/>
    <w:rsid w:val="00811046"/>
    <w:rsid w:val="00825882"/>
    <w:rsid w:val="008314EF"/>
    <w:rsid w:val="00845B3B"/>
    <w:rsid w:val="00850E96"/>
    <w:rsid w:val="008875AE"/>
    <w:rsid w:val="0089356D"/>
    <w:rsid w:val="008A6220"/>
    <w:rsid w:val="008B36B7"/>
    <w:rsid w:val="008B5A82"/>
    <w:rsid w:val="00925472"/>
    <w:rsid w:val="00933D8D"/>
    <w:rsid w:val="009978F8"/>
    <w:rsid w:val="009B1F92"/>
    <w:rsid w:val="009B2CA0"/>
    <w:rsid w:val="009B4866"/>
    <w:rsid w:val="009E6FA6"/>
    <w:rsid w:val="009F5927"/>
    <w:rsid w:val="009F5EC5"/>
    <w:rsid w:val="00A05893"/>
    <w:rsid w:val="00A05BEC"/>
    <w:rsid w:val="00A20700"/>
    <w:rsid w:val="00A255C8"/>
    <w:rsid w:val="00A47BF0"/>
    <w:rsid w:val="00A51F9E"/>
    <w:rsid w:val="00A5212C"/>
    <w:rsid w:val="00A61D9F"/>
    <w:rsid w:val="00A71512"/>
    <w:rsid w:val="00A8614E"/>
    <w:rsid w:val="00AC0ACD"/>
    <w:rsid w:val="00AC5384"/>
    <w:rsid w:val="00AE2E82"/>
    <w:rsid w:val="00AF568D"/>
    <w:rsid w:val="00B139F0"/>
    <w:rsid w:val="00B162F9"/>
    <w:rsid w:val="00B41D8D"/>
    <w:rsid w:val="00B52408"/>
    <w:rsid w:val="00B82D8F"/>
    <w:rsid w:val="00BE2410"/>
    <w:rsid w:val="00C34EE7"/>
    <w:rsid w:val="00C85D4D"/>
    <w:rsid w:val="00C9485D"/>
    <w:rsid w:val="00CB1526"/>
    <w:rsid w:val="00CE0EF4"/>
    <w:rsid w:val="00CE1F7B"/>
    <w:rsid w:val="00D12065"/>
    <w:rsid w:val="00D15096"/>
    <w:rsid w:val="00D179F3"/>
    <w:rsid w:val="00D34553"/>
    <w:rsid w:val="00D62844"/>
    <w:rsid w:val="00D72A09"/>
    <w:rsid w:val="00DE1D30"/>
    <w:rsid w:val="00E161DF"/>
    <w:rsid w:val="00E40872"/>
    <w:rsid w:val="00E475B8"/>
    <w:rsid w:val="00E521E3"/>
    <w:rsid w:val="00E5719E"/>
    <w:rsid w:val="00E74F91"/>
    <w:rsid w:val="00E7637C"/>
    <w:rsid w:val="00EA2AF6"/>
    <w:rsid w:val="00EA5010"/>
    <w:rsid w:val="00EC2322"/>
    <w:rsid w:val="00EC4850"/>
    <w:rsid w:val="00ED076D"/>
    <w:rsid w:val="00EE10E5"/>
    <w:rsid w:val="00F12870"/>
    <w:rsid w:val="00F14416"/>
    <w:rsid w:val="00F678C0"/>
    <w:rsid w:val="00F709BA"/>
    <w:rsid w:val="00F77DE7"/>
    <w:rsid w:val="00FA05E6"/>
    <w:rsid w:val="00FC7105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692E"/>
  <w15:docId w15:val="{85BA837A-7604-4204-BB1A-8A32994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E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AE"/>
  </w:style>
  <w:style w:type="paragraph" w:styleId="Footer">
    <w:name w:val="footer"/>
    <w:basedOn w:val="Normal"/>
    <w:link w:val="FooterChar"/>
    <w:uiPriority w:val="99"/>
    <w:unhideWhenUsed/>
    <w:rsid w:val="0088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3F39-B3E4-4800-AE75-8DC5465D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Korisnik</cp:lastModifiedBy>
  <cp:revision>77</cp:revision>
  <cp:lastPrinted>2024-02-19T07:19:00Z</cp:lastPrinted>
  <dcterms:created xsi:type="dcterms:W3CDTF">2020-11-15T12:10:00Z</dcterms:created>
  <dcterms:modified xsi:type="dcterms:W3CDTF">2024-11-08T07:28:00Z</dcterms:modified>
</cp:coreProperties>
</file>